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57" w:rsidRPr="00A809D9" w:rsidRDefault="00320166" w:rsidP="00CE220E">
      <w:pPr>
        <w:ind w:left="567"/>
        <w:jc w:val="center"/>
        <w:rPr>
          <w:b/>
        </w:rPr>
      </w:pPr>
      <w:r w:rsidRPr="00A809D9">
        <w:rPr>
          <w:b/>
        </w:rPr>
        <w:t>22</w:t>
      </w:r>
      <w:r w:rsidR="00874657" w:rsidRPr="00A809D9">
        <w:rPr>
          <w:b/>
        </w:rPr>
        <w:t>° SIMPOSIO SOBRE LEGISLACION TRIBUTARIA ARGENTINA</w:t>
      </w:r>
    </w:p>
    <w:p w:rsidR="00874657" w:rsidRDefault="00874657" w:rsidP="00CE220E">
      <w:pPr>
        <w:ind w:left="567"/>
        <w:jc w:val="center"/>
        <w:rPr>
          <w:b/>
        </w:rPr>
      </w:pPr>
      <w:r w:rsidRPr="00A809D9">
        <w:rPr>
          <w:b/>
        </w:rPr>
        <w:t>CPCECABA</w:t>
      </w:r>
    </w:p>
    <w:p w:rsidR="00A877CB" w:rsidRPr="006A35E6" w:rsidRDefault="00A877CB" w:rsidP="00A877CB">
      <w:pPr>
        <w:jc w:val="center"/>
        <w:rPr>
          <w:b/>
          <w:bCs/>
        </w:rPr>
      </w:pPr>
      <w:r w:rsidRPr="006A35E6">
        <w:rPr>
          <w:b/>
          <w:bCs/>
        </w:rPr>
        <w:t>Ciudad Autónoma de Buenos Aires, 3 al 6 de noviembre de 2020</w:t>
      </w:r>
    </w:p>
    <w:p w:rsidR="00CE220E" w:rsidRDefault="00A809D9" w:rsidP="00CE220E">
      <w:pPr>
        <w:ind w:left="567"/>
        <w:jc w:val="center"/>
        <w:rPr>
          <w:b/>
        </w:rPr>
      </w:pPr>
      <w:r>
        <w:rPr>
          <w:b/>
        </w:rPr>
        <w:t xml:space="preserve">Conclusiones de la </w:t>
      </w:r>
      <w:r w:rsidR="00CE220E" w:rsidRPr="00A809D9">
        <w:rPr>
          <w:b/>
        </w:rPr>
        <w:t>Comisión N° 4</w:t>
      </w:r>
    </w:p>
    <w:p w:rsidR="00A877CB" w:rsidRPr="00A809D9" w:rsidRDefault="00A877CB" w:rsidP="00CE220E">
      <w:pPr>
        <w:ind w:left="567"/>
        <w:jc w:val="center"/>
        <w:rPr>
          <w:b/>
        </w:rPr>
      </w:pPr>
    </w:p>
    <w:p w:rsidR="002B55DA" w:rsidRPr="00A809D9" w:rsidRDefault="002B55DA" w:rsidP="00A877CB">
      <w:pPr>
        <w:ind w:left="567"/>
        <w:rPr>
          <w:b/>
        </w:rPr>
      </w:pPr>
      <w:r w:rsidRPr="00A809D9">
        <w:rPr>
          <w:b/>
        </w:rPr>
        <w:t>La responsabilidad penal del profesional en Ciencias Económicas</w:t>
      </w:r>
    </w:p>
    <w:p w:rsidR="00CE220E" w:rsidRPr="00A877CB" w:rsidRDefault="00CE220E" w:rsidP="00A877CB">
      <w:pPr>
        <w:spacing w:after="0" w:line="240" w:lineRule="auto"/>
        <w:ind w:left="567"/>
      </w:pPr>
      <w:r w:rsidRPr="00A877CB">
        <w:t>Presidente: Dr. C</w:t>
      </w:r>
      <w:r w:rsidR="00A877CB">
        <w:t>.</w:t>
      </w:r>
      <w:r w:rsidRPr="00A877CB">
        <w:t>P</w:t>
      </w:r>
      <w:r w:rsidR="00A877CB">
        <w:t>.</w:t>
      </w:r>
      <w:r w:rsidRPr="00A877CB">
        <w:t xml:space="preserve"> y </w:t>
      </w:r>
      <w:proofErr w:type="spellStart"/>
      <w:r w:rsidRPr="00A877CB">
        <w:t>Abog</w:t>
      </w:r>
      <w:proofErr w:type="spellEnd"/>
      <w:r w:rsidRPr="00A877CB">
        <w:t>. Pablo S. Varela</w:t>
      </w:r>
    </w:p>
    <w:p w:rsidR="00CE220E" w:rsidRPr="00A877CB" w:rsidRDefault="00CE220E" w:rsidP="00A877CB">
      <w:pPr>
        <w:spacing w:after="0" w:line="240" w:lineRule="auto"/>
        <w:ind w:left="567"/>
      </w:pPr>
      <w:r w:rsidRPr="00A877CB">
        <w:t>Relator: Dr. C</w:t>
      </w:r>
      <w:r w:rsidR="00A877CB">
        <w:t>.</w:t>
      </w:r>
      <w:r w:rsidRPr="00A877CB">
        <w:t>P</w:t>
      </w:r>
      <w:r w:rsidR="00A877CB">
        <w:t>.</w:t>
      </w:r>
      <w:r w:rsidRPr="00A877CB">
        <w:t xml:space="preserve"> Andrés C. Saladino</w:t>
      </w:r>
    </w:p>
    <w:p w:rsidR="00CE220E" w:rsidRPr="00A877CB" w:rsidRDefault="00CE220E" w:rsidP="00A877CB">
      <w:pPr>
        <w:spacing w:after="0" w:line="240" w:lineRule="auto"/>
        <w:ind w:left="567"/>
      </w:pPr>
      <w:r w:rsidRPr="00A877CB">
        <w:t>Secretaria: Dra. C</w:t>
      </w:r>
      <w:r w:rsidR="00A877CB">
        <w:t>.</w:t>
      </w:r>
      <w:r w:rsidRPr="00A877CB">
        <w:t>P</w:t>
      </w:r>
      <w:r w:rsidR="00A877CB">
        <w:t>.</w:t>
      </w:r>
      <w:bookmarkStart w:id="0" w:name="_GoBack"/>
      <w:bookmarkEnd w:id="0"/>
      <w:r w:rsidRPr="00A877CB">
        <w:t xml:space="preserve"> y </w:t>
      </w:r>
      <w:proofErr w:type="spellStart"/>
      <w:r w:rsidRPr="00A877CB">
        <w:t>Abog</w:t>
      </w:r>
      <w:proofErr w:type="spellEnd"/>
      <w:r w:rsidRPr="00A877CB">
        <w:t>. Verónica Agüero</w:t>
      </w:r>
    </w:p>
    <w:p w:rsidR="00625484" w:rsidRDefault="00625484" w:rsidP="00874657">
      <w:pPr>
        <w:spacing w:after="0" w:line="240" w:lineRule="auto"/>
        <w:ind w:left="567"/>
        <w:rPr>
          <w:u w:val="single"/>
        </w:rPr>
      </w:pPr>
    </w:p>
    <w:p w:rsidR="00874657" w:rsidRDefault="00874657" w:rsidP="00874657">
      <w:pPr>
        <w:spacing w:after="0" w:line="240" w:lineRule="auto"/>
        <w:ind w:left="567"/>
        <w:rPr>
          <w:u w:val="single"/>
        </w:rPr>
      </w:pPr>
      <w:r>
        <w:rPr>
          <w:u w:val="single"/>
        </w:rPr>
        <w:t>Visto:</w:t>
      </w:r>
    </w:p>
    <w:p w:rsidR="00874657" w:rsidRDefault="00874657" w:rsidP="00874657">
      <w:pPr>
        <w:spacing w:after="0" w:line="240" w:lineRule="auto"/>
        <w:ind w:left="567"/>
        <w:rPr>
          <w:u w:val="single"/>
        </w:rPr>
      </w:pPr>
    </w:p>
    <w:p w:rsidR="00874657" w:rsidRPr="008B4F5A" w:rsidRDefault="00874657" w:rsidP="00874657">
      <w:pPr>
        <w:pStyle w:val="Prrafodelista"/>
        <w:numPr>
          <w:ilvl w:val="0"/>
          <w:numId w:val="5"/>
        </w:numPr>
        <w:spacing w:after="0" w:line="240" w:lineRule="auto"/>
        <w:rPr>
          <w:u w:val="single"/>
        </w:rPr>
      </w:pPr>
      <w:r>
        <w:t>Las directivas eman</w:t>
      </w:r>
      <w:r w:rsidR="00A809D9">
        <w:t>a</w:t>
      </w:r>
      <w:r>
        <w:t>das de la Relatoría.</w:t>
      </w:r>
    </w:p>
    <w:p w:rsidR="008B4F5A" w:rsidRPr="00874657" w:rsidRDefault="008B4F5A" w:rsidP="008B4F5A">
      <w:pPr>
        <w:pStyle w:val="Prrafodelista"/>
        <w:spacing w:after="0" w:line="240" w:lineRule="auto"/>
        <w:ind w:left="927"/>
        <w:rPr>
          <w:u w:val="single"/>
        </w:rPr>
      </w:pPr>
    </w:p>
    <w:p w:rsidR="00874657" w:rsidRDefault="00874657" w:rsidP="00874657">
      <w:pPr>
        <w:pStyle w:val="Prrafodelista"/>
        <w:numPr>
          <w:ilvl w:val="0"/>
          <w:numId w:val="5"/>
        </w:numPr>
        <w:spacing w:after="0" w:line="240" w:lineRule="auto"/>
      </w:pPr>
      <w:r>
        <w:t>El análisis de los temas expuestos por los panelistas de la Comisión:</w:t>
      </w:r>
    </w:p>
    <w:p w:rsidR="00874657" w:rsidRDefault="00874657" w:rsidP="00874657">
      <w:pPr>
        <w:pStyle w:val="Prrafodelista"/>
        <w:spacing w:after="0" w:line="240" w:lineRule="auto"/>
        <w:ind w:left="1647"/>
      </w:pPr>
    </w:p>
    <w:p w:rsidR="00CE220E" w:rsidRDefault="00CE220E" w:rsidP="001147B9">
      <w:pPr>
        <w:pStyle w:val="Prrafodelista"/>
        <w:numPr>
          <w:ilvl w:val="1"/>
          <w:numId w:val="5"/>
        </w:numPr>
        <w:spacing w:after="0" w:line="240" w:lineRule="auto"/>
        <w:ind w:left="1276" w:hanging="283"/>
      </w:pPr>
      <w:r>
        <w:t xml:space="preserve">Dr. </w:t>
      </w:r>
      <w:proofErr w:type="spellStart"/>
      <w:r>
        <w:t>Abog</w:t>
      </w:r>
      <w:proofErr w:type="spellEnd"/>
      <w:r>
        <w:t xml:space="preserve">. Sandro </w:t>
      </w:r>
      <w:proofErr w:type="spellStart"/>
      <w:r>
        <w:t>Abraldes</w:t>
      </w:r>
      <w:proofErr w:type="spellEnd"/>
      <w:r w:rsidR="00874657">
        <w:t xml:space="preserve"> (“El balance falso y la responsabilidad de los profesionales en Ciencias Económicas”)</w:t>
      </w:r>
    </w:p>
    <w:p w:rsidR="00874657" w:rsidRDefault="00CE220E" w:rsidP="00874657">
      <w:pPr>
        <w:pStyle w:val="Prrafodelista"/>
        <w:numPr>
          <w:ilvl w:val="1"/>
          <w:numId w:val="5"/>
        </w:numPr>
        <w:spacing w:after="0" w:line="240" w:lineRule="auto"/>
        <w:ind w:left="1276" w:hanging="283"/>
      </w:pPr>
      <w:r>
        <w:t xml:space="preserve">Dr. </w:t>
      </w:r>
      <w:proofErr w:type="spellStart"/>
      <w:r>
        <w:t>Abog</w:t>
      </w:r>
      <w:proofErr w:type="spellEnd"/>
      <w:r>
        <w:t>. Pablo Chico de la Cámara (España)</w:t>
      </w:r>
      <w:r w:rsidR="00874657">
        <w:t xml:space="preserve"> (“La responsabilidad de los asesores fiscales bajo la normativa europea”)</w:t>
      </w:r>
    </w:p>
    <w:p w:rsidR="008B4F5A" w:rsidRDefault="00CE220E" w:rsidP="008B4F5A">
      <w:pPr>
        <w:pStyle w:val="Prrafodelista"/>
        <w:numPr>
          <w:ilvl w:val="1"/>
          <w:numId w:val="5"/>
        </w:numPr>
        <w:spacing w:after="0" w:line="240" w:lineRule="auto"/>
        <w:ind w:left="1276" w:hanging="283"/>
      </w:pPr>
      <w:r>
        <w:t>Dra. CP Gabriela Farizano</w:t>
      </w:r>
      <w:r w:rsidR="00874657">
        <w:t xml:space="preserve"> (“La responsabilidad del Contador Público y el </w:t>
      </w:r>
      <w:proofErr w:type="spellStart"/>
      <w:r w:rsidR="00874657">
        <w:t>compliance</w:t>
      </w:r>
      <w:proofErr w:type="spellEnd"/>
      <w:r w:rsidR="00874657">
        <w:t xml:space="preserve"> </w:t>
      </w:r>
      <w:proofErr w:type="spellStart"/>
      <w:r w:rsidR="00874657">
        <w:t>officer</w:t>
      </w:r>
      <w:proofErr w:type="spellEnd"/>
      <w:r w:rsidR="00874657">
        <w:t>”)</w:t>
      </w:r>
    </w:p>
    <w:p w:rsidR="008B4F5A" w:rsidRDefault="00CE220E" w:rsidP="008B4F5A">
      <w:pPr>
        <w:pStyle w:val="Prrafodelista"/>
        <w:numPr>
          <w:ilvl w:val="1"/>
          <w:numId w:val="5"/>
        </w:numPr>
        <w:spacing w:after="0" w:line="240" w:lineRule="auto"/>
        <w:ind w:left="1276" w:hanging="283"/>
      </w:pPr>
      <w:r>
        <w:t xml:space="preserve">Dr. </w:t>
      </w:r>
      <w:proofErr w:type="spellStart"/>
      <w:r>
        <w:t>Abog</w:t>
      </w:r>
      <w:proofErr w:type="spellEnd"/>
      <w:r>
        <w:t xml:space="preserve">. Rodolfo </w:t>
      </w:r>
      <w:proofErr w:type="spellStart"/>
      <w:r>
        <w:t>Florez</w:t>
      </w:r>
      <w:proofErr w:type="spellEnd"/>
      <w:r w:rsidR="00874657">
        <w:t xml:space="preserve">  (“</w:t>
      </w:r>
      <w:r w:rsidR="008B4F5A">
        <w:t>La responsabilidad de los profesionales en Ciencias Económicas en el ámbito de la justicia penal en CABA”)</w:t>
      </w:r>
    </w:p>
    <w:p w:rsidR="008B4F5A" w:rsidRDefault="00CE220E" w:rsidP="008B4F5A">
      <w:pPr>
        <w:pStyle w:val="Prrafodelista"/>
        <w:numPr>
          <w:ilvl w:val="1"/>
          <w:numId w:val="5"/>
        </w:numPr>
        <w:spacing w:after="0" w:line="240" w:lineRule="auto"/>
        <w:ind w:left="1276" w:hanging="283"/>
      </w:pPr>
      <w:r>
        <w:t xml:space="preserve">Dra. </w:t>
      </w:r>
      <w:proofErr w:type="spellStart"/>
      <w:r>
        <w:t>Abog</w:t>
      </w:r>
      <w:proofErr w:type="spellEnd"/>
      <w:r>
        <w:t>. Carolina Robiglio</w:t>
      </w:r>
      <w:r w:rsidR="008B4F5A">
        <w:t xml:space="preserve"> (“Participación criminal, responsabilidad profesional y Ley Penal Tributaria”)</w:t>
      </w:r>
    </w:p>
    <w:p w:rsidR="00CE220E" w:rsidRDefault="00CE220E" w:rsidP="008B4F5A">
      <w:pPr>
        <w:pStyle w:val="Prrafodelista"/>
        <w:numPr>
          <w:ilvl w:val="1"/>
          <w:numId w:val="5"/>
        </w:numPr>
        <w:spacing w:after="0" w:line="240" w:lineRule="auto"/>
        <w:ind w:left="1276" w:hanging="283"/>
      </w:pPr>
      <w:r>
        <w:t xml:space="preserve">Dra. CP </w:t>
      </w:r>
      <w:r w:rsidR="005541B0">
        <w:t xml:space="preserve">María </w:t>
      </w:r>
      <w:r>
        <w:t>Fernanda Vergara</w:t>
      </w:r>
      <w:r w:rsidR="008B4F5A">
        <w:t xml:space="preserve"> (“El peritaje contable en los delitos tributarios.  Responsabilidad penal profesional”)</w:t>
      </w:r>
    </w:p>
    <w:p w:rsidR="008B4F5A" w:rsidRDefault="008B4F5A" w:rsidP="008B4F5A">
      <w:pPr>
        <w:spacing w:after="0" w:line="240" w:lineRule="auto"/>
        <w:ind w:left="567"/>
      </w:pPr>
    </w:p>
    <w:p w:rsidR="001147B9" w:rsidRDefault="008B4F5A" w:rsidP="001147B9">
      <w:pPr>
        <w:pStyle w:val="Prrafodelista"/>
        <w:numPr>
          <w:ilvl w:val="0"/>
          <w:numId w:val="5"/>
        </w:numPr>
        <w:spacing w:after="0" w:line="240" w:lineRule="auto"/>
      </w:pPr>
      <w:r>
        <w:t>Los trabajos presentados por los autores participantes en la Comisión:</w:t>
      </w:r>
    </w:p>
    <w:p w:rsidR="001147B9" w:rsidRDefault="00CE220E" w:rsidP="001147B9">
      <w:pPr>
        <w:pStyle w:val="Prrafodelista"/>
        <w:numPr>
          <w:ilvl w:val="1"/>
          <w:numId w:val="5"/>
        </w:numPr>
        <w:spacing w:after="0" w:line="240" w:lineRule="auto"/>
        <w:ind w:left="1276" w:hanging="283"/>
      </w:pPr>
      <w:r>
        <w:t>“Despenalización del profesional en Ciencias Económicas” – Dr. CP Jorge María Dadi</w:t>
      </w:r>
    </w:p>
    <w:p w:rsidR="001147B9" w:rsidRDefault="00CE220E" w:rsidP="001147B9">
      <w:pPr>
        <w:pStyle w:val="Prrafodelista"/>
        <w:numPr>
          <w:ilvl w:val="1"/>
          <w:numId w:val="5"/>
        </w:numPr>
        <w:spacing w:after="0" w:line="240" w:lineRule="auto"/>
        <w:ind w:left="1276" w:hanging="283"/>
      </w:pPr>
      <w:r>
        <w:t xml:space="preserve">“El auditor frente a las normas </w:t>
      </w:r>
      <w:proofErr w:type="spellStart"/>
      <w:r>
        <w:t>antilavado</w:t>
      </w:r>
      <w:proofErr w:type="spellEnd"/>
      <w:r>
        <w:t xml:space="preserve">” – Dra. CP </w:t>
      </w:r>
      <w:proofErr w:type="spellStart"/>
      <w:r>
        <w:t>Hermosinda</w:t>
      </w:r>
      <w:proofErr w:type="spellEnd"/>
      <w:r>
        <w:t xml:space="preserve"> </w:t>
      </w:r>
      <w:proofErr w:type="spellStart"/>
      <w:r>
        <w:t>Egüez</w:t>
      </w:r>
      <w:proofErr w:type="spellEnd"/>
    </w:p>
    <w:p w:rsidR="00CE220E" w:rsidRDefault="00CE220E" w:rsidP="001147B9">
      <w:pPr>
        <w:pStyle w:val="Prrafodelista"/>
        <w:numPr>
          <w:ilvl w:val="1"/>
          <w:numId w:val="5"/>
        </w:numPr>
        <w:spacing w:after="0" w:line="240" w:lineRule="auto"/>
        <w:ind w:left="1276" w:hanging="283"/>
      </w:pPr>
      <w:r>
        <w:t xml:space="preserve">“Responsabilidad de los contadores en la materia Penal Tributaria – Repaso de la jurisprudencia” – Dra. </w:t>
      </w:r>
      <w:proofErr w:type="spellStart"/>
      <w:r>
        <w:t>Abog</w:t>
      </w:r>
      <w:proofErr w:type="spellEnd"/>
      <w:r>
        <w:t xml:space="preserve">. María Belén Murillo – Dr. CP y </w:t>
      </w:r>
      <w:proofErr w:type="spellStart"/>
      <w:r>
        <w:t>Abog</w:t>
      </w:r>
      <w:proofErr w:type="spellEnd"/>
      <w:r>
        <w:t xml:space="preserve">. Eric Gastón </w:t>
      </w:r>
      <w:proofErr w:type="spellStart"/>
      <w:r>
        <w:t>Rosenberg</w:t>
      </w:r>
      <w:proofErr w:type="spellEnd"/>
      <w:r>
        <w:t xml:space="preserve"> – Dra. </w:t>
      </w:r>
      <w:proofErr w:type="spellStart"/>
      <w:r>
        <w:t>Abog</w:t>
      </w:r>
      <w:proofErr w:type="spellEnd"/>
      <w:r>
        <w:t>. María Constanza Burgueño Ibarguren</w:t>
      </w:r>
    </w:p>
    <w:p w:rsidR="001147B9" w:rsidRDefault="001147B9" w:rsidP="001147B9">
      <w:pPr>
        <w:spacing w:after="0" w:line="240" w:lineRule="auto"/>
      </w:pPr>
    </w:p>
    <w:p w:rsidR="001147B9" w:rsidRPr="00CE220E" w:rsidRDefault="001147B9" w:rsidP="001147B9">
      <w:pPr>
        <w:pStyle w:val="Prrafodelista"/>
        <w:numPr>
          <w:ilvl w:val="0"/>
          <w:numId w:val="5"/>
        </w:numPr>
        <w:spacing w:after="0" w:line="240" w:lineRule="auto"/>
      </w:pPr>
      <w:r>
        <w:t>La intervención de</w:t>
      </w:r>
      <w:r w:rsidR="00625484">
        <w:t xml:space="preserve"> </w:t>
      </w:r>
      <w:r>
        <w:t>participantes en la Comisión y de sus autoridades sobre los distintos temas:</w:t>
      </w:r>
    </w:p>
    <w:p w:rsidR="001147B9" w:rsidRDefault="001147B9">
      <w:r>
        <w:br w:type="page"/>
      </w:r>
    </w:p>
    <w:p w:rsidR="00CE220E" w:rsidRDefault="001147B9" w:rsidP="00CE220E">
      <w:pPr>
        <w:ind w:left="567"/>
        <w:jc w:val="center"/>
      </w:pPr>
      <w:r>
        <w:lastRenderedPageBreak/>
        <w:t>El 2</w:t>
      </w:r>
      <w:r w:rsidR="00F669BC">
        <w:t>2</w:t>
      </w:r>
      <w:r>
        <w:t>° SIMPOSIO SOBRE LEGISLACIÓN TRIBUTARIA ORGANIZADO POR EL CONSEJO PROFESIONAL DE CIENCIAS ECONOMICAS DE LA CIUDAD AUTONOMA DE BUENOS AIRES CONCLUYE:</w:t>
      </w:r>
    </w:p>
    <w:p w:rsidR="00816864" w:rsidRDefault="00816864" w:rsidP="008B59B0">
      <w:pPr>
        <w:ind w:left="567"/>
        <w:jc w:val="both"/>
        <w:rPr>
          <w:u w:val="single"/>
        </w:rPr>
      </w:pPr>
    </w:p>
    <w:p w:rsidR="00816864" w:rsidRDefault="00E56F5B" w:rsidP="008B59B0">
      <w:pPr>
        <w:ind w:left="567"/>
        <w:jc w:val="both"/>
      </w:pPr>
      <w:r>
        <w:t>Que d</w:t>
      </w:r>
      <w:r w:rsidR="00816864">
        <w:t>esde la vigencia del Régimen Penal Tributario (Ley 23.771</w:t>
      </w:r>
      <w:r w:rsidR="000A2A19">
        <w:t>, derogada por la Ley 24.769</w:t>
      </w:r>
      <w:r w:rsidR="00816864">
        <w:t>) en el año 1990, los Contadores Públicos se vieron involucrados en forma directa con los delitos tributarios cuya sanción son las penas privativas de la libertad y la de inhabilitación para el desarrollo de su profesión.</w:t>
      </w:r>
    </w:p>
    <w:p w:rsidR="00597B01" w:rsidRPr="000A2A19" w:rsidRDefault="00E56F5B" w:rsidP="008B59B0">
      <w:pPr>
        <w:ind w:left="567"/>
        <w:jc w:val="both"/>
        <w:rPr>
          <w:i/>
          <w:u w:val="single"/>
        </w:rPr>
      </w:pPr>
      <w:r>
        <w:t>Que e</w:t>
      </w:r>
      <w:r w:rsidR="00597B01">
        <w:t>n aquella oportunidad, el art. 13 involucraba “</w:t>
      </w:r>
      <w:r w:rsidR="000A2A19">
        <w:rPr>
          <w:i/>
        </w:rPr>
        <w:t xml:space="preserve">a los funcionarios públicos, escribanos, </w:t>
      </w:r>
      <w:r w:rsidR="000A2A19" w:rsidRPr="000A2A19">
        <w:rPr>
          <w:i/>
          <w:u w:val="single"/>
        </w:rPr>
        <w:t>contadores públicos</w:t>
      </w:r>
      <w:r w:rsidR="000A2A19">
        <w:rPr>
          <w:i/>
        </w:rPr>
        <w:t xml:space="preserve"> o apoderados que a </w:t>
      </w:r>
      <w:r w:rsidR="000A2A19" w:rsidRPr="000A2A19">
        <w:rPr>
          <w:i/>
          <w:u w:val="single"/>
        </w:rPr>
        <w:t>sabiendas</w:t>
      </w:r>
      <w:r w:rsidR="000A2A19">
        <w:rPr>
          <w:i/>
          <w:u w:val="single"/>
        </w:rPr>
        <w:t xml:space="preserve"> dictaminen, informen, den fe, autoricen o certifiquen</w:t>
      </w:r>
      <w:r w:rsidR="000A2A19">
        <w:rPr>
          <w:i/>
        </w:rPr>
        <w:t xml:space="preserve"> actos jurídicos, balances, cuadros contables o documentación para cometer los delitos previstos en esta </w:t>
      </w:r>
      <w:proofErr w:type="gramStart"/>
      <w:r w:rsidR="000A2A19">
        <w:rPr>
          <w:i/>
        </w:rPr>
        <w:t>Ley …</w:t>
      </w:r>
      <w:proofErr w:type="gramEnd"/>
      <w:r w:rsidR="000A2A19">
        <w:rPr>
          <w:i/>
        </w:rPr>
        <w:t>”</w:t>
      </w:r>
      <w:r w:rsidR="000A2A19">
        <w:rPr>
          <w:i/>
          <w:u w:val="single"/>
        </w:rPr>
        <w:t>.</w:t>
      </w:r>
    </w:p>
    <w:p w:rsidR="00816864" w:rsidRDefault="00E56F5B" w:rsidP="008B59B0">
      <w:pPr>
        <w:ind w:left="567"/>
        <w:jc w:val="both"/>
      </w:pPr>
      <w:r>
        <w:t>Que l</w:t>
      </w:r>
      <w:r w:rsidR="00816864">
        <w:t xml:space="preserve">uego de transcurridos 30 años, </w:t>
      </w:r>
      <w:r w:rsidR="00597B01">
        <w:t>el tema</w:t>
      </w:r>
      <w:r w:rsidR="000A2A19">
        <w:t xml:space="preserve"> de la responsabilidad penal  del profesional en Ciencias Económica</w:t>
      </w:r>
      <w:r w:rsidR="00E00CB5">
        <w:t>s sigue siendo tema de análisis, a la</w:t>
      </w:r>
      <w:r w:rsidR="000A2A19">
        <w:t xml:space="preserve"> que se suman </w:t>
      </w:r>
      <w:r w:rsidR="000F3031">
        <w:t xml:space="preserve">nuevas </w:t>
      </w:r>
      <w:r w:rsidR="000A2A19">
        <w:t>normativa</w:t>
      </w:r>
      <w:r w:rsidR="00E00CB5">
        <w:t xml:space="preserve">s que no sólo le adicionan </w:t>
      </w:r>
      <w:r w:rsidR="000A2A19">
        <w:t>responsabilidades sino</w:t>
      </w:r>
      <w:r w:rsidR="00E00CB5">
        <w:t xml:space="preserve"> también</w:t>
      </w:r>
      <w:r w:rsidR="000A2A19">
        <w:t xml:space="preserve">, </w:t>
      </w:r>
      <w:r w:rsidR="00E00CB5">
        <w:t xml:space="preserve">y </w:t>
      </w:r>
      <w:r w:rsidR="000A2A19">
        <w:t>por sobre todas las cosas, lo mantienen con enorme incertidumbre en su accionar.</w:t>
      </w:r>
    </w:p>
    <w:p w:rsidR="000F3031" w:rsidRDefault="00E56F5B" w:rsidP="008B59B0">
      <w:pPr>
        <w:ind w:left="567"/>
        <w:jc w:val="both"/>
      </w:pPr>
      <w:r>
        <w:t>Que p</w:t>
      </w:r>
      <w:r w:rsidR="00B33B40">
        <w:t>ara abordar este tema</w:t>
      </w:r>
      <w:r w:rsidR="000A2A19">
        <w:t>, nos centraremos en las diferente</w:t>
      </w:r>
      <w:r w:rsidR="00B33B40">
        <w:t xml:space="preserve">s normas en juego, no sin antes enmarcar </w:t>
      </w:r>
      <w:r w:rsidR="00215B44">
        <w:t xml:space="preserve">nuestro </w:t>
      </w:r>
      <w:r w:rsidR="00B33B40">
        <w:t xml:space="preserve">análisis </w:t>
      </w:r>
      <w:r w:rsidR="00215B44">
        <w:t>en</w:t>
      </w:r>
      <w:r w:rsidR="00B33B40">
        <w:t xml:space="preserve"> la generalidad de los profesionales de esta</w:t>
      </w:r>
      <w:r w:rsidR="00215B44">
        <w:t>s</w:t>
      </w:r>
      <w:r w:rsidR="00B33B40">
        <w:t xml:space="preserve"> ciencia</w:t>
      </w:r>
      <w:r w:rsidR="00215B44">
        <w:t>s</w:t>
      </w:r>
      <w:r w:rsidR="00B33B40">
        <w:t xml:space="preserve"> que en su diario trabajo mantienen una estrecha relación</w:t>
      </w:r>
      <w:r w:rsidR="00E00CB5">
        <w:t xml:space="preserve"> </w:t>
      </w:r>
      <w:r w:rsidR="000F3031">
        <w:t xml:space="preserve">con sus clientes, sea </w:t>
      </w:r>
      <w:r w:rsidR="00E00CB5">
        <w:t xml:space="preserve">como asesores, auditores, </w:t>
      </w:r>
      <w:r w:rsidR="00DC0B49">
        <w:t xml:space="preserve">liquidadores tributarios, participantes en la elaboración e implantación de métodos y procedimientos de trabajo administrativo contable, auxiliares de la justicia, etc. </w:t>
      </w:r>
    </w:p>
    <w:p w:rsidR="000A2A19" w:rsidRDefault="00E56F5B" w:rsidP="008B59B0">
      <w:pPr>
        <w:ind w:left="567"/>
        <w:jc w:val="both"/>
      </w:pPr>
      <w:r>
        <w:t>Que e</w:t>
      </w:r>
      <w:r w:rsidR="000F3031">
        <w:t xml:space="preserve">n este análisis, no se puede soslayar que </w:t>
      </w:r>
      <w:r w:rsidR="002F13A2">
        <w:t xml:space="preserve">tales clientes, como </w:t>
      </w:r>
      <w:r w:rsidR="002D328A">
        <w:t xml:space="preserve">actores económicos, </w:t>
      </w:r>
      <w:r w:rsidR="00B33B40">
        <w:t xml:space="preserve">en el desarrollo de sus actividades y también como contribuyentes tributarios pueden </w:t>
      </w:r>
      <w:r w:rsidR="00215B44">
        <w:t xml:space="preserve">llegar a </w:t>
      </w:r>
      <w:r w:rsidR="00B33B40">
        <w:t xml:space="preserve">cometer actos </w:t>
      </w:r>
      <w:r w:rsidR="00466E8D">
        <w:t xml:space="preserve">ilícitos penados por el ordenamiento </w:t>
      </w:r>
      <w:r w:rsidR="00466E8D" w:rsidRPr="00215B44">
        <w:t xml:space="preserve">legal </w:t>
      </w:r>
      <w:r w:rsidR="00215B44">
        <w:t>vigente.  No obstante se dejarán</w:t>
      </w:r>
      <w:r w:rsidR="00B33B40" w:rsidRPr="00215B44">
        <w:t xml:space="preserve"> </w:t>
      </w:r>
      <w:r w:rsidR="00B33B40">
        <w:t>de lado a aquellos que su accionar está dirigido a la comisión del ilícito, ya que sobre ellos sin dudas, y respetando el debido proceso</w:t>
      </w:r>
      <w:r w:rsidR="00466E8D">
        <w:t xml:space="preserve"> que corresponde a cada ciudadano</w:t>
      </w:r>
      <w:r w:rsidR="00B33B40">
        <w:t>, debe caer el peso de la Ley</w:t>
      </w:r>
      <w:r w:rsidR="00466E8D">
        <w:t xml:space="preserve"> en caso que así corresponda</w:t>
      </w:r>
      <w:r w:rsidR="00B33B40">
        <w:t>.</w:t>
      </w:r>
    </w:p>
    <w:p w:rsidR="00674035" w:rsidRPr="00816864" w:rsidRDefault="00674035" w:rsidP="008B59B0">
      <w:pPr>
        <w:ind w:left="567"/>
        <w:jc w:val="both"/>
      </w:pPr>
    </w:p>
    <w:p w:rsidR="00816864" w:rsidRDefault="00466E8D" w:rsidP="008B59B0">
      <w:pPr>
        <w:ind w:left="567"/>
        <w:jc w:val="both"/>
        <w:rPr>
          <w:u w:val="single"/>
        </w:rPr>
      </w:pPr>
      <w:r>
        <w:rPr>
          <w:u w:val="single"/>
        </w:rPr>
        <w:t>Normativa</w:t>
      </w:r>
    </w:p>
    <w:p w:rsidR="003604D2" w:rsidRPr="003604D2" w:rsidRDefault="00641418" w:rsidP="003604D2">
      <w:pPr>
        <w:ind w:left="567"/>
        <w:jc w:val="both"/>
        <w:rPr>
          <w:i/>
        </w:rPr>
      </w:pPr>
      <w:r>
        <w:t>Que l</w:t>
      </w:r>
      <w:r w:rsidR="00466E8D">
        <w:t xml:space="preserve">a </w:t>
      </w:r>
      <w:r w:rsidR="00466E8D" w:rsidRPr="00674035">
        <w:rPr>
          <w:u w:val="single"/>
        </w:rPr>
        <w:t>Ley 20.488</w:t>
      </w:r>
      <w:r w:rsidR="003604D2">
        <w:t xml:space="preserve"> regula el ejercicio profesional de los Licenciados en Economía, en Administración, Contadores Públicos y Actuarios. </w:t>
      </w:r>
    </w:p>
    <w:p w:rsidR="003604D2" w:rsidRPr="003604D2" w:rsidRDefault="00641418" w:rsidP="003604D2">
      <w:pPr>
        <w:ind w:left="567"/>
        <w:jc w:val="both"/>
        <w:rPr>
          <w:i/>
        </w:rPr>
      </w:pPr>
      <w:r>
        <w:t>Que d</w:t>
      </w:r>
      <w:r w:rsidR="003604D2">
        <w:t xml:space="preserve">e sus artículos (arts. 11 y </w:t>
      </w:r>
      <w:proofErr w:type="spellStart"/>
      <w:r w:rsidR="003604D2">
        <w:t>sstes</w:t>
      </w:r>
      <w:proofErr w:type="spellEnd"/>
      <w:r w:rsidR="003604D2">
        <w:t>.) podemos observar que entre las incumbencias de los Contadores Públicos se encuentran, entre otros, l</w:t>
      </w:r>
      <w:r w:rsidR="00D67B1F">
        <w:t xml:space="preserve">a emisión </w:t>
      </w:r>
      <w:proofErr w:type="gramStart"/>
      <w:r w:rsidR="00D67B1F">
        <w:t xml:space="preserve">de </w:t>
      </w:r>
      <w:r w:rsidR="003604D2">
        <w:t xml:space="preserve"> dictámenes</w:t>
      </w:r>
      <w:proofErr w:type="gramEnd"/>
      <w:r w:rsidR="003604D2">
        <w:t xml:space="preserve"> cuando sirvan a “… </w:t>
      </w:r>
      <w:r w:rsidR="003604D2" w:rsidRPr="003604D2">
        <w:rPr>
          <w:i/>
        </w:rPr>
        <w:t xml:space="preserve">fines judiciales, administrativos o estén destinados a hacer pública en relación con las cuestiones siguientes: 1) Preparación, análisis y proyección de estados contables, … y de impuestos en empresas y otros entes. 2) Revisión de contabilidades y su documentación. … 4) Organización contable de todo tipo de entes.  5) Elaboración e </w:t>
      </w:r>
      <w:r w:rsidR="003604D2" w:rsidRPr="003604D2">
        <w:rPr>
          <w:i/>
        </w:rPr>
        <w:lastRenderedPageBreak/>
        <w:t>implantación de políticas, sistemas, métodos y procedimientos de trabajo administrativo-contable. … 11) Presentación con su firma de estados contables de bancos nacionales, provinciales, municipales, mixtos y particulares, de toda empresa, sociedad o institución pública, mixta o privada y de todo tipo de ente con patrimonio diferenciado.”.</w:t>
      </w:r>
    </w:p>
    <w:p w:rsidR="003604D2" w:rsidRPr="003604D2" w:rsidRDefault="00D67B1F" w:rsidP="003604D2">
      <w:pPr>
        <w:ind w:left="567"/>
        <w:jc w:val="both"/>
        <w:rPr>
          <w:i/>
        </w:rPr>
      </w:pPr>
      <w:r>
        <w:t xml:space="preserve">Que en lo que se refiere a la </w:t>
      </w:r>
      <w:r w:rsidR="003604D2">
        <w:t xml:space="preserve">materia judicial, las incumbencias de los profesionales en Ciencias Económicas alcanzan a sus actuaciones “… </w:t>
      </w:r>
      <w:r w:rsidR="003604D2" w:rsidRPr="003604D2">
        <w:rPr>
          <w:i/>
        </w:rPr>
        <w:t>como  perito en su materia en todos los fueros</w:t>
      </w:r>
      <w:r w:rsidR="003604D2">
        <w:t>”.  Además, los Contadores Públicos, también en el ámbito judicial intervienen en “</w:t>
      </w:r>
      <w:r w:rsidR="003604D2" w:rsidRPr="003604D2">
        <w:rPr>
          <w:i/>
        </w:rPr>
        <w:t>4</w:t>
      </w:r>
      <w:proofErr w:type="gramStart"/>
      <w:r w:rsidR="003604D2" w:rsidRPr="003604D2">
        <w:rPr>
          <w:i/>
        </w:rPr>
        <w:t>)</w:t>
      </w:r>
      <w:r w:rsidR="003604D2" w:rsidRPr="003604D2">
        <w:rPr>
          <w:b/>
        </w:rPr>
        <w:t xml:space="preserve"> </w:t>
      </w:r>
      <w:r w:rsidR="003604D2">
        <w:t>…</w:t>
      </w:r>
      <w:proofErr w:type="gramEnd"/>
      <w:r w:rsidR="003604D2">
        <w:t xml:space="preserve"> </w:t>
      </w:r>
      <w:r w:rsidR="003604D2" w:rsidRPr="003604D2">
        <w:rPr>
          <w:i/>
        </w:rPr>
        <w:t>las compulsas o peritajes sobre libros, documentos y demás elementos concurrentes a la dilucidación de cuestiones de contabilidad y relacionadas con el comercio en general, sus prácticas, usos y costumbres. 5) para dictámenes e informes contables en las administraciones e intervenciones judiciales. …”.</w:t>
      </w:r>
    </w:p>
    <w:p w:rsidR="00674035" w:rsidRPr="00674035" w:rsidRDefault="00641418" w:rsidP="00674035">
      <w:pPr>
        <w:ind w:left="567"/>
        <w:jc w:val="both"/>
        <w:rPr>
          <w:i/>
        </w:rPr>
      </w:pPr>
      <w:r>
        <w:t>Que p</w:t>
      </w:r>
      <w:r w:rsidR="00674035">
        <w:t>or su parte, el Régimen Penal Tributario (</w:t>
      </w:r>
      <w:r w:rsidR="00674035" w:rsidRPr="00674035">
        <w:rPr>
          <w:u w:val="single"/>
        </w:rPr>
        <w:t>Ley 27.430</w:t>
      </w:r>
      <w:r w:rsidR="00674035">
        <w:t>), si bien siempre  limitándose en su aplicación a las conductas engañosas, ocultaciones maliciosas o cualquier otro ardid o engaño, sea por acción u omisión (art. 1°), contempla en su art. 15 sanciones a aquel sujeto que “…</w:t>
      </w:r>
      <w:r w:rsidR="00674035" w:rsidRPr="00674035">
        <w:rPr>
          <w:i/>
        </w:rPr>
        <w:t xml:space="preserve"> a sabiendas: a) Dictaminare, informare,  …, certificare actos jurídicos, balances, estados contables o documentación para facilitar la comisión de los delitos previstos en esta ley … b) Concurriere con dos o más personas para la comisión de alguno de los delitos tipificados en esa ley … c) Formare parte de una organización o asociación compuesta por tres o más personas que habitualmente este destinada a cometer, colaborar o coadyuvar cualquiera de los ilícitos tipificados en esta ley …”.</w:t>
      </w:r>
    </w:p>
    <w:p w:rsidR="00674035" w:rsidRDefault="00641418" w:rsidP="00674035">
      <w:pPr>
        <w:pStyle w:val="Prrafodelista"/>
        <w:ind w:left="567"/>
        <w:jc w:val="both"/>
        <w:rPr>
          <w:i/>
        </w:rPr>
      </w:pPr>
      <w:r>
        <w:t>Que a</w:t>
      </w:r>
      <w:r w:rsidR="00674035">
        <w:t xml:space="preserve">simismo, el art. 2 inc. d) tipifica como evasión agravada el supuesto en que </w:t>
      </w:r>
      <w:r w:rsidR="00674035">
        <w:rPr>
          <w:i/>
        </w:rPr>
        <w:t>“hubiere mediado la utilización total o parcial de facturas o cualquier otro documento equivalente, ideológica o materialmente falso.”</w:t>
      </w:r>
    </w:p>
    <w:p w:rsidR="00674035" w:rsidRPr="008C3ADA" w:rsidRDefault="00674035" w:rsidP="00674035">
      <w:pPr>
        <w:pStyle w:val="Prrafodelista"/>
        <w:ind w:left="567"/>
        <w:jc w:val="both"/>
        <w:rPr>
          <w:i/>
        </w:rPr>
      </w:pPr>
    </w:p>
    <w:p w:rsidR="00674035" w:rsidRDefault="00641418" w:rsidP="00674035">
      <w:pPr>
        <w:pStyle w:val="Prrafodelista"/>
        <w:ind w:left="567"/>
        <w:jc w:val="both"/>
      </w:pPr>
      <w:r>
        <w:t>Que r</w:t>
      </w:r>
      <w:r w:rsidR="00674035">
        <w:t xml:space="preserve">esaltamos en este punto que de acuerdo al diccionario de la Real Academia Española, la palabra “sabiendas” expresa una acción hecha con conocimiento y premeditación.  En otras palabras, quien dictamine, informe y/o certifique debe hacerlo con conocimiento de la situación y con intencionalidad. </w:t>
      </w:r>
    </w:p>
    <w:p w:rsidR="00674035" w:rsidRDefault="00674035" w:rsidP="00674035">
      <w:pPr>
        <w:pStyle w:val="Prrafodelista"/>
        <w:ind w:left="567"/>
        <w:jc w:val="both"/>
      </w:pPr>
    </w:p>
    <w:p w:rsidR="00674035" w:rsidRDefault="00641418" w:rsidP="00674035">
      <w:pPr>
        <w:pStyle w:val="Prrafodelista"/>
        <w:ind w:left="567"/>
        <w:jc w:val="both"/>
        <w:rPr>
          <w:i/>
          <w:color w:val="FF0000"/>
        </w:rPr>
      </w:pPr>
      <w:r>
        <w:t>Que a</w:t>
      </w:r>
      <w:r w:rsidR="001147B9">
        <w:t xml:space="preserve">simismo, y a riesgo de considerarla una norma que afecta el principio constitucional de “igualdad”, </w:t>
      </w:r>
      <w:r w:rsidR="001340A4">
        <w:t xml:space="preserve">el </w:t>
      </w:r>
      <w:r w:rsidR="00F24E32">
        <w:t xml:space="preserve">inc. c) del </w:t>
      </w:r>
      <w:r w:rsidR="001340A4">
        <w:t>art. 204 del Código Procesal Penal Federal (</w:t>
      </w:r>
      <w:r w:rsidR="001340A4" w:rsidRPr="001340A4">
        <w:rPr>
          <w:u w:val="single"/>
        </w:rPr>
        <w:t>Ley 27.063</w:t>
      </w:r>
      <w:r w:rsidR="001340A4">
        <w:t>) obliga a l</w:t>
      </w:r>
      <w:r w:rsidR="001340A4" w:rsidRPr="001340A4">
        <w:t>os</w:t>
      </w:r>
      <w:r w:rsidR="001340A4">
        <w:t xml:space="preserve"> Contadores Públicos a </w:t>
      </w:r>
      <w:r w:rsidR="001340A4" w:rsidRPr="001340A4">
        <w:rPr>
          <w:i/>
        </w:rPr>
        <w:t>denunciar los delitos de acción pública en los casos de fraude, evasión impositiva, lavado de activos, trata y explotación de personas</w:t>
      </w:r>
      <w:r w:rsidR="001340A4">
        <w:t xml:space="preserve">.  Esta obligación tiene como límite (en el mismo art.) en caso que pudiera acarrear la </w:t>
      </w:r>
      <w:r w:rsidR="001340A4" w:rsidRPr="001340A4">
        <w:rPr>
          <w:i/>
        </w:rPr>
        <w:t xml:space="preserve">persecución penal propia, la del cónyuge, </w:t>
      </w:r>
      <w:r w:rsidR="001340A4">
        <w:rPr>
          <w:i/>
        </w:rPr>
        <w:t>conviviente o pariente dentro del cuarto grado de consanguinidad o segundo de afinidad, o cuando los hechos hubiesen sido conocidos bajo secreto profesional.</w:t>
      </w:r>
      <w:r w:rsidR="00C352D5">
        <w:rPr>
          <w:i/>
        </w:rPr>
        <w:t xml:space="preserve">    </w:t>
      </w:r>
    </w:p>
    <w:p w:rsidR="00BF44C3" w:rsidRDefault="00BF44C3" w:rsidP="00674035">
      <w:pPr>
        <w:pStyle w:val="Prrafodelista"/>
        <w:ind w:left="567"/>
        <w:jc w:val="both"/>
        <w:rPr>
          <w:i/>
          <w:color w:val="FF0000"/>
        </w:rPr>
      </w:pPr>
    </w:p>
    <w:p w:rsidR="00BF44C3" w:rsidRDefault="00641418" w:rsidP="00674035">
      <w:pPr>
        <w:pStyle w:val="Prrafodelista"/>
        <w:ind w:left="567"/>
        <w:jc w:val="both"/>
        <w:rPr>
          <w:i/>
        </w:rPr>
      </w:pPr>
      <w:r>
        <w:t>Que e</w:t>
      </w:r>
      <w:r w:rsidR="00BF44C3" w:rsidRPr="00BF44C3">
        <w:t xml:space="preserve">n el </w:t>
      </w:r>
      <w:r w:rsidR="00BF44C3">
        <w:t xml:space="preserve">año 2000, la </w:t>
      </w:r>
      <w:r w:rsidR="00BF44C3">
        <w:rPr>
          <w:u w:val="single"/>
        </w:rPr>
        <w:t>Ley 25.246</w:t>
      </w:r>
      <w:r w:rsidR="00BF44C3">
        <w:t xml:space="preserve"> de Encubrimiento y Lavado de Activos de origen delictivo, crea la </w:t>
      </w:r>
      <w:r w:rsidR="00BF44C3" w:rsidRPr="00BF44C3">
        <w:rPr>
          <w:i/>
        </w:rPr>
        <w:t>Unidad de Información Financiera</w:t>
      </w:r>
      <w:r w:rsidR="0051277D">
        <w:rPr>
          <w:i/>
        </w:rPr>
        <w:t xml:space="preserve"> (UIF)</w:t>
      </w:r>
      <w:r w:rsidR="00BF44C3">
        <w:t xml:space="preserve"> y asociada a ella, se designan a determinados “sujetos obligados” con el deber de “informar” operaciones sospechosas.  En particular, el art. 20 punto 17 expresamente designa como tales a los </w:t>
      </w:r>
      <w:r w:rsidR="00BF44C3">
        <w:rPr>
          <w:i/>
        </w:rPr>
        <w:t xml:space="preserve">“profesionales </w:t>
      </w:r>
      <w:r w:rsidR="00BF44C3">
        <w:rPr>
          <w:i/>
        </w:rPr>
        <w:lastRenderedPageBreak/>
        <w:t>matriculados cuyas actividades estén reguladas por los consejos profesionales de ciencias económicas.”</w:t>
      </w:r>
    </w:p>
    <w:p w:rsidR="00BF44C3" w:rsidRDefault="00BF44C3" w:rsidP="00674035">
      <w:pPr>
        <w:pStyle w:val="Prrafodelista"/>
        <w:ind w:left="567"/>
        <w:jc w:val="both"/>
        <w:rPr>
          <w:i/>
        </w:rPr>
      </w:pPr>
    </w:p>
    <w:p w:rsidR="00BF44C3" w:rsidRDefault="00641418" w:rsidP="00674035">
      <w:pPr>
        <w:pStyle w:val="Prrafodelista"/>
        <w:ind w:left="567"/>
        <w:jc w:val="both"/>
        <w:rPr>
          <w:i/>
        </w:rPr>
      </w:pPr>
      <w:r>
        <w:t>Que a</w:t>
      </w:r>
      <w:r w:rsidR="007D7807">
        <w:t xml:space="preserve"> dicho fin, el art. 21 de la citada Ley dispone tres obligaciones a cumplir por el sujeto obligado: </w:t>
      </w:r>
      <w:r w:rsidR="007D7807">
        <w:rPr>
          <w:i/>
        </w:rPr>
        <w:t>a) Recabar documentación que pruebe fehacientemente quién es “el cliente”. b) Informar hechos u operaciones sospechosas. c)  Abstenerse de revelar al cliente o a terceros las actuaciones que se estén realizando en cumplimiento de la Ley.</w:t>
      </w:r>
    </w:p>
    <w:p w:rsidR="007D7807" w:rsidRDefault="007D7807" w:rsidP="00674035">
      <w:pPr>
        <w:pStyle w:val="Prrafodelista"/>
        <w:ind w:left="567"/>
        <w:jc w:val="both"/>
        <w:rPr>
          <w:i/>
        </w:rPr>
      </w:pPr>
    </w:p>
    <w:p w:rsidR="007D7807" w:rsidRDefault="00641418" w:rsidP="0051277D">
      <w:pPr>
        <w:pStyle w:val="Prrafodelista"/>
        <w:ind w:left="567"/>
        <w:jc w:val="both"/>
      </w:pPr>
      <w:r>
        <w:t>Que c</w:t>
      </w:r>
      <w:r w:rsidR="00491611">
        <w:t xml:space="preserve">abe advertir que si bien la Ley 25.246 fue sancionada por el Congreso a instancias de las recomendaciones del </w:t>
      </w:r>
      <w:r w:rsidR="00491611">
        <w:rPr>
          <w:i/>
        </w:rPr>
        <w:t>Grupo de Acción Financiera Internacional (GAFI)</w:t>
      </w:r>
      <w:r w:rsidR="00491611">
        <w:t xml:space="preserve">, la legislación local </w:t>
      </w:r>
      <w:r w:rsidR="0051277D">
        <w:t xml:space="preserve">amplió el alcance de las operaciones sospechosas susceptibles de ser reportadas, incluyendo de esta manera a los profesionales en Ciencias Económicas en su rol de auditores, cuando la Recomendación del GAFI lo limita a cuando el profesional se </w:t>
      </w:r>
      <w:r w:rsidR="0051277D" w:rsidRPr="0051277D">
        <w:rPr>
          <w:i/>
        </w:rPr>
        <w:t xml:space="preserve">involucrara en nombre de un cliente o por un cliente </w:t>
      </w:r>
      <w:r w:rsidR="0051277D">
        <w:rPr>
          <w:i/>
        </w:rPr>
        <w:t xml:space="preserve">en </w:t>
      </w:r>
      <w:r w:rsidR="0051277D" w:rsidRPr="0051277D">
        <w:rPr>
          <w:i/>
        </w:rPr>
        <w:t>una transacción financiera</w:t>
      </w:r>
      <w:r w:rsidR="0051277D">
        <w:t>.</w:t>
      </w:r>
    </w:p>
    <w:p w:rsidR="0051277D" w:rsidRDefault="0051277D" w:rsidP="0051277D">
      <w:pPr>
        <w:pStyle w:val="Prrafodelista"/>
        <w:ind w:left="567"/>
        <w:jc w:val="both"/>
      </w:pPr>
    </w:p>
    <w:p w:rsidR="0051277D" w:rsidRPr="00D67B1F" w:rsidRDefault="00641418" w:rsidP="0051277D">
      <w:pPr>
        <w:pStyle w:val="Prrafodelista"/>
        <w:ind w:left="567"/>
        <w:jc w:val="both"/>
      </w:pPr>
      <w:r w:rsidRPr="00D67B1F">
        <w:t>Que e</w:t>
      </w:r>
      <w:r w:rsidR="0051277D" w:rsidRPr="00D67B1F">
        <w:t>n cuanto al Secreto Profesional, el punto 1. del art. 14 de la Ley 25.246 establece que en el marco del análisis de un reporte de operación sospechosa los sujetos contemplados en el art. 20 (en el que están incluidos los profesionales en Ciencias Económicas) no podrán oponer a la UIF el secreto bancario, bursátil o profesional, ni los compromisos legales o contractuales de confidencialidad.</w:t>
      </w:r>
    </w:p>
    <w:p w:rsidR="0051277D" w:rsidRDefault="0051277D" w:rsidP="0051277D">
      <w:pPr>
        <w:pStyle w:val="Prrafodelista"/>
        <w:ind w:left="567"/>
        <w:jc w:val="both"/>
        <w:rPr>
          <w:i/>
          <w:color w:val="FF0000"/>
        </w:rPr>
      </w:pPr>
    </w:p>
    <w:p w:rsidR="00B74B47" w:rsidRDefault="00641418" w:rsidP="0051277D">
      <w:pPr>
        <w:pStyle w:val="Prrafodelista"/>
        <w:ind w:left="567"/>
        <w:jc w:val="both"/>
      </w:pPr>
      <w:r>
        <w:t>Que p</w:t>
      </w:r>
      <w:r w:rsidR="00F24E32" w:rsidRPr="00F24E32">
        <w:t>or último, recientemente</w:t>
      </w:r>
      <w:r w:rsidR="00F24E32">
        <w:t xml:space="preserve"> </w:t>
      </w:r>
      <w:r w:rsidR="00B74B47">
        <w:t xml:space="preserve">(octubre 2020) </w:t>
      </w:r>
      <w:r w:rsidR="00F24E32">
        <w:t xml:space="preserve">la AFIP </w:t>
      </w:r>
      <w:r w:rsidR="00B74B47">
        <w:t>emitió la RG 4838 a través de la cual instrumentó un “</w:t>
      </w:r>
      <w:r w:rsidR="00B74B47">
        <w:rPr>
          <w:i/>
        </w:rPr>
        <w:t>Régim</w:t>
      </w:r>
      <w:r w:rsidR="00D56241">
        <w:rPr>
          <w:i/>
        </w:rPr>
        <w:t xml:space="preserve">en de información </w:t>
      </w:r>
      <w:r w:rsidR="00B74B47">
        <w:rPr>
          <w:i/>
        </w:rPr>
        <w:t>de planificaciones fiscales tributarias</w:t>
      </w:r>
      <w:r w:rsidR="00B74B47">
        <w:t xml:space="preserve">”, obligando a profesionales de distintas </w:t>
      </w:r>
      <w:r w:rsidR="00D56241">
        <w:t>disciplinas</w:t>
      </w:r>
      <w:r w:rsidR="00B74B47">
        <w:t xml:space="preserve">, pero todos ellos en función de su rol como “asesores fiscales”, a informar en forma exhaustiva y precisa la planificación fiscal </w:t>
      </w:r>
      <w:r w:rsidR="00D56241">
        <w:t>de sus clientes (a la postre contribuyentes)</w:t>
      </w:r>
      <w:r w:rsidR="00B74B47">
        <w:t xml:space="preserve">.  </w:t>
      </w:r>
      <w:r w:rsidR="00D56241">
        <w:t>Se dispensa de esta obligación cuando el asesor fiscal se ampare en el secreto profesional, debiendo notificar al contribuyente tal circunstancia.</w:t>
      </w:r>
    </w:p>
    <w:p w:rsidR="00B74B47" w:rsidRDefault="00B74B47" w:rsidP="0051277D">
      <w:pPr>
        <w:pStyle w:val="Prrafodelista"/>
        <w:ind w:left="567"/>
        <w:jc w:val="both"/>
      </w:pPr>
    </w:p>
    <w:p w:rsidR="0051277D" w:rsidRPr="00B74B47" w:rsidRDefault="00641418" w:rsidP="0051277D">
      <w:pPr>
        <w:pStyle w:val="Prrafodelista"/>
        <w:ind w:left="567"/>
        <w:jc w:val="both"/>
        <w:rPr>
          <w:color w:val="FF0000"/>
        </w:rPr>
      </w:pPr>
      <w:r>
        <w:t>Que e</w:t>
      </w:r>
      <w:r w:rsidR="00B74B47">
        <w:t>n caso de incumplimiento serán pasibles de las sanciones previstas en la Ley 11.683, como así también incidirán en la tramitación de solicitudes que eventualmente realicen referidas a la incorporación y/o permanencia en los distintos registros implementados por AFIP, obtención de certificados de crédito fiscal y/o constancias de situación impositiva o previsi</w:t>
      </w:r>
      <w:r w:rsidR="00EC7132">
        <w:t>onal, encuadramiento en una categoría creciente de riesgo de ser fiscalizado (SIPER), etc.</w:t>
      </w:r>
    </w:p>
    <w:p w:rsidR="00094BF8" w:rsidRDefault="00641418" w:rsidP="00094BF8">
      <w:pPr>
        <w:ind w:left="567"/>
        <w:jc w:val="both"/>
      </w:pPr>
      <w:r>
        <w:t>Que d</w:t>
      </w:r>
      <w:r w:rsidR="00094BF8">
        <w:t>e lo transcripto, no es casual entonces que l</w:t>
      </w:r>
      <w:r w:rsidR="00094BF8" w:rsidRPr="00241349">
        <w:t xml:space="preserve">a </w:t>
      </w:r>
      <w:r w:rsidR="00094BF8">
        <w:t xml:space="preserve">vinculación del Contador Público con </w:t>
      </w:r>
      <w:r w:rsidR="00094BF8" w:rsidRPr="00241349">
        <w:t>figuras penales ha</w:t>
      </w:r>
      <w:r w:rsidR="00094BF8">
        <w:t>ya</w:t>
      </w:r>
      <w:r w:rsidR="00094BF8" w:rsidRPr="00241349">
        <w:t xml:space="preserve"> generado mu</w:t>
      </w:r>
      <w:r w:rsidR="008D7ADA">
        <w:t>chas críticas por parte de los O</w:t>
      </w:r>
      <w:r w:rsidR="00094BF8" w:rsidRPr="00241349">
        <w:t xml:space="preserve">rganismos </w:t>
      </w:r>
      <w:r w:rsidR="00094BF8">
        <w:t>que los nuclean</w:t>
      </w:r>
      <w:r w:rsidR="00094BF8" w:rsidRPr="00241349">
        <w:t xml:space="preserve"> y, por sobre todas las cosas, mucha incertidumbre en la mayor parte de los profesionales que, por la forma en que los usos y costumbre en nuestro país delinean el servicio que prestan, puedan verse envueltos en procesos por figuras delictivas sin haber tenido la mínima intención de ello y menos aún</w:t>
      </w:r>
      <w:r w:rsidR="008D7ADA">
        <w:t>,</w:t>
      </w:r>
      <w:r w:rsidR="00094BF8" w:rsidRPr="00241349">
        <w:t xml:space="preserve"> participado </w:t>
      </w:r>
      <w:r w:rsidR="00094BF8">
        <w:t>en las mismas</w:t>
      </w:r>
      <w:r w:rsidR="00094BF8" w:rsidRPr="00241349">
        <w:t>.</w:t>
      </w:r>
    </w:p>
    <w:p w:rsidR="008D7ADA" w:rsidRDefault="008D7ADA" w:rsidP="00094BF8">
      <w:pPr>
        <w:ind w:left="567"/>
        <w:jc w:val="both"/>
      </w:pPr>
    </w:p>
    <w:p w:rsidR="00094BF8" w:rsidRDefault="00641418" w:rsidP="006D2650">
      <w:pPr>
        <w:ind w:left="567"/>
        <w:jc w:val="both"/>
      </w:pPr>
      <w:r>
        <w:lastRenderedPageBreak/>
        <w:t>Que d</w:t>
      </w:r>
      <w:r w:rsidR="00677209">
        <w:t>icha vinculación del</w:t>
      </w:r>
      <w:r w:rsidR="00094BF8">
        <w:t xml:space="preserve"> profesional en Ciencias Económicas </w:t>
      </w:r>
      <w:r w:rsidR="00677209">
        <w:t xml:space="preserve">con figuras penales, se observan tanto en un posible </w:t>
      </w:r>
      <w:r w:rsidR="00094BF8">
        <w:t>accionar frente a la Ley Penal Tributaria, como por su obligación de informar o denunciar si nos referimos a la ley de Lavado de dinero o más recientemente como asesor fiscal (RG AFIP).</w:t>
      </w:r>
    </w:p>
    <w:p w:rsidR="00AF586D" w:rsidRDefault="00641418" w:rsidP="00DF0364">
      <w:pPr>
        <w:ind w:left="567"/>
        <w:jc w:val="both"/>
      </w:pPr>
      <w:r>
        <w:t>Que c</w:t>
      </w:r>
      <w:r w:rsidR="00AF586D">
        <w:t xml:space="preserve">omo se observa de las normas transcriptas, </w:t>
      </w:r>
      <w:r w:rsidR="004F639A">
        <w:t xml:space="preserve">tratándose de obligaciones de informar o denunciar, </w:t>
      </w:r>
      <w:r w:rsidR="00AF586D">
        <w:t>en todos los casos se hace mención al “secreto profesional”</w:t>
      </w:r>
      <w:r w:rsidR="004F639A">
        <w:t>.  Al no existir una norma legal que lo defina, nos remitimos al Diccionario de la Real Academia Española que lo define como “</w:t>
      </w:r>
      <w:r w:rsidR="004F639A">
        <w:rPr>
          <w:i/>
        </w:rPr>
        <w:t>el deber que tienen los miembros de ciertas profesiones como los médicos, los abogados, los notarios, etc. de no revelar los hechos que han conocido en el ejercicio de su profesión</w:t>
      </w:r>
      <w:r w:rsidR="004F639A">
        <w:t>”.</w:t>
      </w:r>
    </w:p>
    <w:p w:rsidR="004F639A" w:rsidRDefault="004F639A" w:rsidP="00674035">
      <w:pPr>
        <w:pStyle w:val="Prrafodelista"/>
        <w:ind w:left="567"/>
        <w:jc w:val="both"/>
      </w:pPr>
    </w:p>
    <w:p w:rsidR="004F639A" w:rsidRDefault="00641418" w:rsidP="00674035">
      <w:pPr>
        <w:pStyle w:val="Prrafodelista"/>
        <w:ind w:left="567"/>
        <w:jc w:val="both"/>
      </w:pPr>
      <w:r>
        <w:t>Que e</w:t>
      </w:r>
      <w:r w:rsidR="004F639A">
        <w:t xml:space="preserve">l art. 156 del Código Penal establece que </w:t>
      </w:r>
      <w:r w:rsidR="008B729A">
        <w:t>“S</w:t>
      </w:r>
      <w:r w:rsidR="004F639A" w:rsidRPr="008B729A">
        <w:rPr>
          <w:i/>
        </w:rPr>
        <w:t xml:space="preserve">erá reprimido con </w:t>
      </w:r>
      <w:proofErr w:type="gramStart"/>
      <w:r w:rsidR="004F639A" w:rsidRPr="008B729A">
        <w:rPr>
          <w:i/>
        </w:rPr>
        <w:t>multa …</w:t>
      </w:r>
      <w:proofErr w:type="gramEnd"/>
      <w:r w:rsidR="004F639A" w:rsidRPr="008B729A">
        <w:rPr>
          <w:i/>
        </w:rPr>
        <w:t xml:space="preserve"> e inhabilitación especial, en su caso, por seis meses a tres años, el que teniendo noticia, por razón de su estado, oficio, empleo, profesión o arte, de un secreto cuya divulgación pueda causar daño, lo </w:t>
      </w:r>
      <w:r w:rsidR="008B729A" w:rsidRPr="008B729A">
        <w:rPr>
          <w:i/>
        </w:rPr>
        <w:t>revelare sin justa causa.</w:t>
      </w:r>
      <w:r w:rsidR="008B729A">
        <w:t>”</w:t>
      </w:r>
    </w:p>
    <w:p w:rsidR="00DD5E91" w:rsidRDefault="00DD5E91" w:rsidP="00674035">
      <w:pPr>
        <w:pStyle w:val="Prrafodelista"/>
        <w:ind w:left="567"/>
        <w:jc w:val="both"/>
      </w:pPr>
    </w:p>
    <w:p w:rsidR="00DD5E91" w:rsidRDefault="00641418" w:rsidP="00674035">
      <w:pPr>
        <w:pStyle w:val="Prrafodelista"/>
        <w:ind w:left="567"/>
        <w:jc w:val="both"/>
        <w:rPr>
          <w:i/>
        </w:rPr>
      </w:pPr>
      <w:r>
        <w:t>Que l</w:t>
      </w:r>
      <w:r w:rsidR="00DD5E91">
        <w:t>a FACPCE, en su Proyecto de Código de Ética unificado para profesionales de Ciencias Económicas establece en el art. 28 que “</w:t>
      </w:r>
      <w:r w:rsidR="00DD5E91">
        <w:rPr>
          <w:i/>
        </w:rPr>
        <w:t xml:space="preserve">la relación entre profesionales y clientes debe desarrollarse dentro de la más absoluta reserva, respetando la confidencialidad de la información acerca de los asuntos de los clientes o </w:t>
      </w:r>
      <w:proofErr w:type="gramStart"/>
      <w:r w:rsidR="00DD5E91">
        <w:rPr>
          <w:i/>
        </w:rPr>
        <w:t>empleadores adquirida</w:t>
      </w:r>
      <w:proofErr w:type="gramEnd"/>
      <w:r w:rsidR="00DD5E91">
        <w:rPr>
          <w:i/>
        </w:rPr>
        <w:t xml:space="preserve"> en el curso de sus servicios profesionales”</w:t>
      </w:r>
      <w:r w:rsidR="00A37616">
        <w:rPr>
          <w:i/>
        </w:rPr>
        <w:t>.</w:t>
      </w:r>
    </w:p>
    <w:p w:rsidR="00A37616" w:rsidRDefault="00A37616" w:rsidP="00674035">
      <w:pPr>
        <w:pStyle w:val="Prrafodelista"/>
        <w:ind w:left="567"/>
        <w:jc w:val="both"/>
        <w:rPr>
          <w:i/>
        </w:rPr>
      </w:pPr>
    </w:p>
    <w:p w:rsidR="00A37616" w:rsidRPr="008D7ADA" w:rsidRDefault="00641418" w:rsidP="00A37616">
      <w:pPr>
        <w:pStyle w:val="Prrafodelista"/>
        <w:ind w:left="567"/>
        <w:jc w:val="both"/>
      </w:pPr>
      <w:r w:rsidRPr="008D7ADA">
        <w:t>Que p</w:t>
      </w:r>
      <w:r w:rsidR="00A37616" w:rsidRPr="008D7ADA">
        <w:t xml:space="preserve">odemos sintetizar entonces que los profesionales </w:t>
      </w:r>
      <w:r w:rsidR="008D7ADA">
        <w:t>en Ciencias Económicas</w:t>
      </w:r>
      <w:r w:rsidR="00A37616" w:rsidRPr="008D7ADA">
        <w:t>, como tales,  pueden ser pasibles de sanciones penales sea por:</w:t>
      </w:r>
    </w:p>
    <w:p w:rsidR="00A37616" w:rsidRPr="008D7ADA" w:rsidRDefault="00A37616" w:rsidP="00A37616">
      <w:pPr>
        <w:pStyle w:val="Prrafodelista"/>
        <w:ind w:left="567"/>
        <w:jc w:val="both"/>
      </w:pPr>
    </w:p>
    <w:p w:rsidR="00A37616" w:rsidRDefault="00A37616" w:rsidP="00A37616">
      <w:pPr>
        <w:pStyle w:val="Prrafodelista"/>
        <w:numPr>
          <w:ilvl w:val="0"/>
          <w:numId w:val="7"/>
        </w:numPr>
        <w:ind w:left="709" w:hanging="142"/>
        <w:jc w:val="both"/>
      </w:pPr>
      <w:r w:rsidRPr="008D7ADA">
        <w:t>Acción: al dictaminar, informar o certificar actos jurídicos, balances, estados contables o documentación; o bien concurriere con más personas o forme parte de una organización o asociación destinada a cometer ilícitos.</w:t>
      </w:r>
    </w:p>
    <w:p w:rsidR="008D7ADA" w:rsidRPr="008D7ADA" w:rsidRDefault="008D7ADA" w:rsidP="008D7ADA">
      <w:pPr>
        <w:pStyle w:val="Prrafodelista"/>
        <w:ind w:left="709"/>
        <w:jc w:val="both"/>
      </w:pPr>
    </w:p>
    <w:p w:rsidR="00A37616" w:rsidRPr="008D7ADA" w:rsidRDefault="00A37616" w:rsidP="00A37616">
      <w:pPr>
        <w:pStyle w:val="Prrafodelista"/>
        <w:numPr>
          <w:ilvl w:val="0"/>
          <w:numId w:val="7"/>
        </w:numPr>
        <w:ind w:left="709" w:hanging="142"/>
        <w:jc w:val="both"/>
      </w:pPr>
      <w:r w:rsidRPr="008D7ADA">
        <w:t xml:space="preserve">Omisión: </w:t>
      </w:r>
      <w:r w:rsidR="007E30DC" w:rsidRPr="008D7ADA">
        <w:t>en caso de no denunciar operaciones sospechosas, o una planificación fiscal, o bien delitos de acción pública en los casos de fraude, evasión impositiva, lavado de activos, trata y explotación de personas</w:t>
      </w:r>
      <w:r w:rsidR="004C13BD" w:rsidRPr="008D7ADA">
        <w:t>.</w:t>
      </w:r>
    </w:p>
    <w:p w:rsidR="00A37616" w:rsidRPr="008D7ADA" w:rsidRDefault="00A37616" w:rsidP="00A37616">
      <w:pPr>
        <w:pStyle w:val="Prrafodelista"/>
        <w:ind w:left="567"/>
        <w:jc w:val="both"/>
      </w:pPr>
    </w:p>
    <w:p w:rsidR="004C13BD" w:rsidRPr="008D7ADA" w:rsidRDefault="00641418" w:rsidP="00A37616">
      <w:pPr>
        <w:pStyle w:val="Prrafodelista"/>
        <w:ind w:left="567"/>
        <w:jc w:val="both"/>
      </w:pPr>
      <w:r w:rsidRPr="008D7ADA">
        <w:t>Que s</w:t>
      </w:r>
      <w:r w:rsidR="004C13BD" w:rsidRPr="008D7ADA">
        <w:t>i bien en el primer caso se requiere una acción concreta del profesional, vemos que en la segunda es justamente la omisión lo que lo apega a la infracción, encontrando como muro de contención de esa omisión el “secreto profesional”.  Secreto profesional que a su vez genera muchísima incertidumbre respecto a su alcance y su oposición ante un caso concreto.</w:t>
      </w:r>
    </w:p>
    <w:p w:rsidR="00A37616" w:rsidRDefault="00A37616" w:rsidP="00A37616">
      <w:pPr>
        <w:pStyle w:val="Prrafodelista"/>
        <w:ind w:left="567"/>
        <w:jc w:val="both"/>
      </w:pPr>
    </w:p>
    <w:p w:rsidR="004C13BD" w:rsidRPr="00A37616" w:rsidRDefault="00641418" w:rsidP="00A37616">
      <w:pPr>
        <w:pStyle w:val="Prrafodelista"/>
        <w:ind w:left="567"/>
        <w:jc w:val="both"/>
      </w:pPr>
      <w:r>
        <w:t>Que e</w:t>
      </w:r>
      <w:r w:rsidR="004C13BD">
        <w:t xml:space="preserve">s así como nos encontramos en un contexto normativo punitivo que no da certezas, a lo que debemos sumar: </w:t>
      </w:r>
    </w:p>
    <w:p w:rsidR="00DD5E91" w:rsidRDefault="00DD5E91" w:rsidP="00674035">
      <w:pPr>
        <w:pStyle w:val="Prrafodelista"/>
        <w:ind w:left="567"/>
        <w:jc w:val="both"/>
        <w:rPr>
          <w:i/>
        </w:rPr>
      </w:pPr>
    </w:p>
    <w:p w:rsidR="00DD5E91" w:rsidRDefault="00DD5E91" w:rsidP="00674035">
      <w:pPr>
        <w:pStyle w:val="Prrafodelista"/>
        <w:ind w:left="567"/>
        <w:jc w:val="both"/>
        <w:rPr>
          <w:i/>
        </w:rPr>
      </w:pPr>
    </w:p>
    <w:p w:rsidR="008C3ADA" w:rsidRPr="008C3ADA" w:rsidRDefault="005C52B6" w:rsidP="00670213">
      <w:pPr>
        <w:pStyle w:val="Prrafodelista"/>
        <w:numPr>
          <w:ilvl w:val="0"/>
          <w:numId w:val="2"/>
        </w:numPr>
        <w:ind w:left="993" w:hanging="426"/>
        <w:jc w:val="both"/>
        <w:rPr>
          <w:i/>
        </w:rPr>
      </w:pPr>
      <w:r>
        <w:lastRenderedPageBreak/>
        <w:t xml:space="preserve">La enorme cantidad de normas </w:t>
      </w:r>
      <w:r w:rsidR="00BE707F">
        <w:t xml:space="preserve">-y su complejidad- </w:t>
      </w:r>
      <w:r>
        <w:t>que le corresponde aplicar a las y los contribuyentes en nuestro País, en especial a las empresas,</w:t>
      </w:r>
      <w:r w:rsidR="00BE707F">
        <w:t xml:space="preserve"> </w:t>
      </w:r>
      <w:r>
        <w:t>obstaculiza de alguna manera el correcto cumplimiento de las mismas en forma total.</w:t>
      </w:r>
    </w:p>
    <w:p w:rsidR="008C3ADA" w:rsidRPr="008C3ADA" w:rsidRDefault="008C3ADA" w:rsidP="008B59B0">
      <w:pPr>
        <w:pStyle w:val="Prrafodelista"/>
        <w:ind w:left="567"/>
        <w:jc w:val="both"/>
        <w:rPr>
          <w:i/>
        </w:rPr>
      </w:pPr>
    </w:p>
    <w:p w:rsidR="005C52B6" w:rsidRPr="005C52B6" w:rsidRDefault="005C52B6" w:rsidP="00670213">
      <w:pPr>
        <w:pStyle w:val="Prrafodelista"/>
        <w:numPr>
          <w:ilvl w:val="0"/>
          <w:numId w:val="2"/>
        </w:numPr>
        <w:ind w:left="993" w:hanging="426"/>
        <w:jc w:val="both"/>
        <w:rPr>
          <w:i/>
        </w:rPr>
      </w:pPr>
      <w:r>
        <w:t>Si bien muchos Contadores Públicos sólo brindan asesoramiento tributario a sus clientes, en su gran mayoría prestan servicios integrales, los cuales incluyen el de registración de las operaciones, la liquidación de los impuestos</w:t>
      </w:r>
      <w:r w:rsidR="00B8391E">
        <w:t xml:space="preserve"> y su presentación</w:t>
      </w:r>
      <w:r>
        <w:t xml:space="preserve">, </w:t>
      </w:r>
      <w:r w:rsidR="00B8391E">
        <w:t xml:space="preserve">la atención de fiscalizaciones de los Organismos de recaudación, </w:t>
      </w:r>
      <w:r>
        <w:t>la auditoría de los Estados Contables y hasta certificaciones.</w:t>
      </w:r>
    </w:p>
    <w:p w:rsidR="0003106B" w:rsidRDefault="0003106B" w:rsidP="008B59B0">
      <w:pPr>
        <w:pStyle w:val="Prrafodelista"/>
        <w:ind w:left="567"/>
        <w:jc w:val="both"/>
      </w:pPr>
    </w:p>
    <w:p w:rsidR="005C52B6" w:rsidRDefault="00641418" w:rsidP="008B59B0">
      <w:pPr>
        <w:pStyle w:val="Prrafodelista"/>
        <w:ind w:left="567"/>
        <w:jc w:val="both"/>
      </w:pPr>
      <w:r>
        <w:t>Que e</w:t>
      </w:r>
      <w:r w:rsidR="005C52B6">
        <w:t xml:space="preserve">sta modalidad de prestación de servicios </w:t>
      </w:r>
      <w:r w:rsidR="00B8391E">
        <w:t xml:space="preserve">pone de manifiesto el estrecho vínculo entre el profesional y su cliente, y el conocimiento cierto </w:t>
      </w:r>
      <w:r w:rsidR="00A96A7B">
        <w:t xml:space="preserve">que tiene </w:t>
      </w:r>
      <w:r w:rsidR="00B8391E">
        <w:t>de las actividades económicas que realiza</w:t>
      </w:r>
      <w:r w:rsidR="00A96A7B">
        <w:t xml:space="preserve"> y que le son informadas</w:t>
      </w:r>
      <w:r w:rsidR="00B8391E">
        <w:t xml:space="preserve">, </w:t>
      </w:r>
      <w:r w:rsidR="00A96A7B">
        <w:t xml:space="preserve">en general luego, y no antes, de </w:t>
      </w:r>
      <w:r w:rsidR="00B8391E">
        <w:t>que las mismas ocurran.</w:t>
      </w:r>
    </w:p>
    <w:p w:rsidR="00670213" w:rsidRDefault="00670213" w:rsidP="008B59B0">
      <w:pPr>
        <w:pStyle w:val="Prrafodelista"/>
        <w:ind w:left="567"/>
        <w:jc w:val="both"/>
      </w:pPr>
    </w:p>
    <w:p w:rsidR="00BE707F" w:rsidRDefault="00641418" w:rsidP="00BE707F">
      <w:pPr>
        <w:pStyle w:val="Prrafodelista"/>
        <w:ind w:left="567"/>
        <w:jc w:val="both"/>
      </w:pPr>
      <w:r>
        <w:t>Que a</w:t>
      </w:r>
      <w:r w:rsidR="006C303F">
        <w:t xml:space="preserve">demás, de tratarse de profesionales que desarrollan su actividad contratando el servicio de empleados en relación de dependencia o de terceros (profesionales o no), son estos últimos los que realizan gran parte de las tareas </w:t>
      </w:r>
      <w:r w:rsidR="00255367">
        <w:t>contratadas</w:t>
      </w:r>
      <w:r w:rsidR="008C3ADA">
        <w:t>, incluyendo la presentación de las declaraciones juradas</w:t>
      </w:r>
      <w:r w:rsidR="00BE707F">
        <w:t>.</w:t>
      </w:r>
    </w:p>
    <w:p w:rsidR="00BE707F" w:rsidRDefault="00BE707F" w:rsidP="00BE707F">
      <w:pPr>
        <w:pStyle w:val="Prrafodelista"/>
        <w:ind w:left="567"/>
        <w:jc w:val="both"/>
      </w:pPr>
    </w:p>
    <w:p w:rsidR="00BE707F" w:rsidRPr="00625484" w:rsidRDefault="00625484" w:rsidP="00BE707F">
      <w:pPr>
        <w:pStyle w:val="Prrafodelista"/>
        <w:ind w:left="567"/>
        <w:jc w:val="both"/>
      </w:pPr>
      <w:r>
        <w:rPr>
          <w:u w:val="single"/>
        </w:rPr>
        <w:t>Recomendaciones</w:t>
      </w:r>
      <w:r>
        <w:t>:</w:t>
      </w:r>
    </w:p>
    <w:p w:rsidR="00BE707F" w:rsidRDefault="00BE707F" w:rsidP="00BE707F">
      <w:pPr>
        <w:pStyle w:val="Prrafodelista"/>
        <w:ind w:left="567"/>
        <w:jc w:val="both"/>
      </w:pPr>
    </w:p>
    <w:p w:rsidR="00BE707F" w:rsidRDefault="00625484" w:rsidP="00AD7834">
      <w:pPr>
        <w:pStyle w:val="Prrafodelista"/>
        <w:numPr>
          <w:ilvl w:val="0"/>
          <w:numId w:val="8"/>
        </w:numPr>
        <w:jc w:val="both"/>
      </w:pPr>
      <w:r>
        <w:t xml:space="preserve">Que los Organismos que </w:t>
      </w:r>
      <w:r w:rsidR="00AD7834">
        <w:t>nuclean a los profesionales en Ciencias Económicas</w:t>
      </w:r>
      <w:r>
        <w:t xml:space="preserve"> propicien ante las Instituciones que correspondan, adecuar las normativa</w:t>
      </w:r>
      <w:r w:rsidR="00F220AC">
        <w:t>s</w:t>
      </w:r>
      <w:r>
        <w:t xml:space="preserve"> vinculada</w:t>
      </w:r>
      <w:r w:rsidR="00AD7834">
        <w:t xml:space="preserve">s con la leyes Penal Tributaria, </w:t>
      </w:r>
      <w:r w:rsidR="00F220AC">
        <w:t>de Encubrimiento y Lavado de Activos de origen delictivo</w:t>
      </w:r>
      <w:r w:rsidR="00AD7834">
        <w:t xml:space="preserve"> y todas aquellas que los vinculan con cuestiones de índole penal,</w:t>
      </w:r>
      <w:r w:rsidR="00F220AC">
        <w:t xml:space="preserve"> </w:t>
      </w:r>
      <w:r w:rsidR="00AD7834">
        <w:t>enmarcándolas en</w:t>
      </w:r>
      <w:r w:rsidR="00F220AC">
        <w:t xml:space="preserve"> las </w:t>
      </w:r>
      <w:r w:rsidR="00AD7834">
        <w:t xml:space="preserve">actividades que les son propias, </w:t>
      </w:r>
      <w:r w:rsidR="00F220AC">
        <w:t>contempladas en la Ley 20.488 y no se les exijan a dichos profesionales obligaciones qu</w:t>
      </w:r>
      <w:r w:rsidR="00AD7834">
        <w:t>e exceden a sus incumbencias</w:t>
      </w:r>
      <w:r w:rsidR="00F220AC">
        <w:t xml:space="preserve">. </w:t>
      </w:r>
    </w:p>
    <w:p w:rsidR="00B87F55" w:rsidRDefault="00F220AC" w:rsidP="00B87F55">
      <w:pPr>
        <w:pStyle w:val="Prrafodelista"/>
        <w:numPr>
          <w:ilvl w:val="0"/>
          <w:numId w:val="8"/>
        </w:numPr>
        <w:jc w:val="both"/>
      </w:pPr>
      <w:r>
        <w:t xml:space="preserve">Que sea el Estado quien, cumpliendo las obligaciones que le son propias, </w:t>
      </w:r>
      <w:r w:rsidR="00B87F55">
        <w:t>a través de los organismos o entes que considere pertinentes, impulse la creación de cuerpos especializados para la prevención, investigación y represión del delito de lavado de activos, en los cuales la participación de profesionales en Ciencias Económicas este reservado sólo para aquellos que en forma voluntaria quieran hacerlo.</w:t>
      </w:r>
    </w:p>
    <w:p w:rsidR="00AD7834" w:rsidRDefault="00AD7834" w:rsidP="00B87F55">
      <w:pPr>
        <w:pStyle w:val="Prrafodelista"/>
        <w:numPr>
          <w:ilvl w:val="0"/>
          <w:numId w:val="8"/>
        </w:numPr>
        <w:jc w:val="both"/>
      </w:pPr>
      <w:r>
        <w:t xml:space="preserve">Instar a las Entidades encargadas de reglamentar el ejercicio de la actividad de los profesionales en Ciencias Económicas, precisen </w:t>
      </w:r>
      <w:r w:rsidR="006D2650">
        <w:t>las mismas de manera tal que quede debidamente delimitada su responsabilidad de acuerdo con el alcance de sus tareas.</w:t>
      </w:r>
    </w:p>
    <w:sectPr w:rsidR="00AD783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20D4"/>
    <w:multiLevelType w:val="hybridMultilevel"/>
    <w:tmpl w:val="64406492"/>
    <w:lvl w:ilvl="0" w:tplc="2AE0281E">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 w15:restartNumberingAfterBreak="0">
    <w:nsid w:val="25584DAF"/>
    <w:multiLevelType w:val="hybridMultilevel"/>
    <w:tmpl w:val="058C0F64"/>
    <w:lvl w:ilvl="0" w:tplc="24423914">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 w15:restartNumberingAfterBreak="0">
    <w:nsid w:val="35A11E84"/>
    <w:multiLevelType w:val="multilevel"/>
    <w:tmpl w:val="DBB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17EC9"/>
    <w:multiLevelType w:val="hybridMultilevel"/>
    <w:tmpl w:val="A16C2FC8"/>
    <w:lvl w:ilvl="0" w:tplc="175099FA">
      <w:start w:val="4"/>
      <w:numFmt w:val="bullet"/>
      <w:lvlText w:val="-"/>
      <w:lvlJc w:val="left"/>
      <w:pPr>
        <w:ind w:left="927" w:hanging="360"/>
      </w:pPr>
      <w:rPr>
        <w:rFonts w:ascii="Calibri" w:eastAsiaTheme="minorHAnsi" w:hAnsi="Calibri" w:cs="Calibri"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4" w15:restartNumberingAfterBreak="0">
    <w:nsid w:val="43025552"/>
    <w:multiLevelType w:val="hybridMultilevel"/>
    <w:tmpl w:val="8DE87230"/>
    <w:lvl w:ilvl="0" w:tplc="2C0A0011">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D2F3C98"/>
    <w:multiLevelType w:val="hybridMultilevel"/>
    <w:tmpl w:val="E43422F4"/>
    <w:lvl w:ilvl="0" w:tplc="648A8A2A">
      <w:start w:val="4"/>
      <w:numFmt w:val="bullet"/>
      <w:lvlText w:val="-"/>
      <w:lvlJc w:val="left"/>
      <w:pPr>
        <w:ind w:left="927" w:hanging="360"/>
      </w:pPr>
      <w:rPr>
        <w:rFonts w:ascii="Calibri" w:eastAsiaTheme="minorHAnsi" w:hAnsi="Calibri" w:cs="Calibri"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6" w15:restartNumberingAfterBreak="0">
    <w:nsid w:val="6B7C54CC"/>
    <w:multiLevelType w:val="hybridMultilevel"/>
    <w:tmpl w:val="4E52F448"/>
    <w:lvl w:ilvl="0" w:tplc="E7AAEA16">
      <w:start w:val="1"/>
      <w:numFmt w:val="lowerLetter"/>
      <w:lvlText w:val="%1)"/>
      <w:lvlJc w:val="left"/>
      <w:pPr>
        <w:ind w:left="927" w:hanging="360"/>
      </w:pPr>
      <w:rPr>
        <w:rFonts w:hint="default"/>
      </w:rPr>
    </w:lvl>
    <w:lvl w:ilvl="1" w:tplc="FE76AE4A">
      <w:start w:val="1"/>
      <w:numFmt w:val="decimal"/>
      <w:lvlText w:val="%2."/>
      <w:lvlJc w:val="left"/>
      <w:pPr>
        <w:ind w:left="1495" w:hanging="360"/>
      </w:pPr>
      <w:rPr>
        <w:rFonts w:asciiTheme="minorHAnsi" w:eastAsiaTheme="minorHAnsi" w:hAnsiTheme="minorHAnsi" w:cstheme="minorBidi"/>
      </w:rPr>
    </w:lvl>
    <w:lvl w:ilvl="2" w:tplc="2C0A001B">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7" w15:restartNumberingAfterBreak="0">
    <w:nsid w:val="6D5B0D3A"/>
    <w:multiLevelType w:val="hybridMultilevel"/>
    <w:tmpl w:val="01486E46"/>
    <w:lvl w:ilvl="0" w:tplc="E8520FD0">
      <w:start w:val="1"/>
      <w:numFmt w:val="bullet"/>
      <w:lvlText w:val="-"/>
      <w:lvlJc w:val="left"/>
      <w:pPr>
        <w:ind w:left="720" w:hanging="360"/>
      </w:pPr>
      <w:rPr>
        <w:rFonts w:ascii="Tahoma" w:eastAsia="Times New Roman"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DA"/>
    <w:rsid w:val="000206F3"/>
    <w:rsid w:val="00026C30"/>
    <w:rsid w:val="0003106B"/>
    <w:rsid w:val="0008356E"/>
    <w:rsid w:val="00094BF8"/>
    <w:rsid w:val="000A2A19"/>
    <w:rsid w:val="000A2FF4"/>
    <w:rsid w:val="000B61CC"/>
    <w:rsid w:val="000D0F43"/>
    <w:rsid w:val="000E3E37"/>
    <w:rsid w:val="000F3031"/>
    <w:rsid w:val="001147B9"/>
    <w:rsid w:val="0012009D"/>
    <w:rsid w:val="001340A4"/>
    <w:rsid w:val="00144F02"/>
    <w:rsid w:val="00187609"/>
    <w:rsid w:val="001E1DA1"/>
    <w:rsid w:val="002154D5"/>
    <w:rsid w:val="00215B44"/>
    <w:rsid w:val="00241349"/>
    <w:rsid w:val="00255367"/>
    <w:rsid w:val="002646C4"/>
    <w:rsid w:val="00273457"/>
    <w:rsid w:val="002959E5"/>
    <w:rsid w:val="002B55DA"/>
    <w:rsid w:val="002B6CB7"/>
    <w:rsid w:val="002C2717"/>
    <w:rsid w:val="002D328A"/>
    <w:rsid w:val="002D38E3"/>
    <w:rsid w:val="002F13A2"/>
    <w:rsid w:val="00320166"/>
    <w:rsid w:val="003433EB"/>
    <w:rsid w:val="0035614E"/>
    <w:rsid w:val="003604D2"/>
    <w:rsid w:val="003E3A69"/>
    <w:rsid w:val="00466E8D"/>
    <w:rsid w:val="00483124"/>
    <w:rsid w:val="00491611"/>
    <w:rsid w:val="004C13BD"/>
    <w:rsid w:val="004D3451"/>
    <w:rsid w:val="004F3C61"/>
    <w:rsid w:val="004F639A"/>
    <w:rsid w:val="00500AAF"/>
    <w:rsid w:val="0051277D"/>
    <w:rsid w:val="005541B0"/>
    <w:rsid w:val="00597B01"/>
    <w:rsid w:val="005B4CE2"/>
    <w:rsid w:val="005C52B6"/>
    <w:rsid w:val="005F0DE4"/>
    <w:rsid w:val="00602037"/>
    <w:rsid w:val="006140A1"/>
    <w:rsid w:val="00625484"/>
    <w:rsid w:val="00641418"/>
    <w:rsid w:val="00664FCF"/>
    <w:rsid w:val="00670213"/>
    <w:rsid w:val="00674035"/>
    <w:rsid w:val="00675196"/>
    <w:rsid w:val="00677209"/>
    <w:rsid w:val="006B77E6"/>
    <w:rsid w:val="006C303F"/>
    <w:rsid w:val="006D2650"/>
    <w:rsid w:val="006D6BAD"/>
    <w:rsid w:val="006F0CAC"/>
    <w:rsid w:val="0070437F"/>
    <w:rsid w:val="00706E46"/>
    <w:rsid w:val="00762BC2"/>
    <w:rsid w:val="007965BF"/>
    <w:rsid w:val="007D7807"/>
    <w:rsid w:val="007E30DC"/>
    <w:rsid w:val="00800389"/>
    <w:rsid w:val="00803DC0"/>
    <w:rsid w:val="00816864"/>
    <w:rsid w:val="00874657"/>
    <w:rsid w:val="008B4F5A"/>
    <w:rsid w:val="008B59B0"/>
    <w:rsid w:val="008B729A"/>
    <w:rsid w:val="008C3ADA"/>
    <w:rsid w:val="008D7ADA"/>
    <w:rsid w:val="008F2ADA"/>
    <w:rsid w:val="008F3BB9"/>
    <w:rsid w:val="0091009B"/>
    <w:rsid w:val="0092007A"/>
    <w:rsid w:val="00945110"/>
    <w:rsid w:val="00A37616"/>
    <w:rsid w:val="00A46D0F"/>
    <w:rsid w:val="00A7063F"/>
    <w:rsid w:val="00A809D9"/>
    <w:rsid w:val="00A877CB"/>
    <w:rsid w:val="00A96A7B"/>
    <w:rsid w:val="00AD465A"/>
    <w:rsid w:val="00AD7834"/>
    <w:rsid w:val="00AE086C"/>
    <w:rsid w:val="00AF586D"/>
    <w:rsid w:val="00AF7CB5"/>
    <w:rsid w:val="00B11B5F"/>
    <w:rsid w:val="00B33B40"/>
    <w:rsid w:val="00B74B47"/>
    <w:rsid w:val="00B8391E"/>
    <w:rsid w:val="00B87F55"/>
    <w:rsid w:val="00BE707F"/>
    <w:rsid w:val="00BF44C3"/>
    <w:rsid w:val="00C352D5"/>
    <w:rsid w:val="00C63E30"/>
    <w:rsid w:val="00C74EAE"/>
    <w:rsid w:val="00C80183"/>
    <w:rsid w:val="00CE220E"/>
    <w:rsid w:val="00CF331F"/>
    <w:rsid w:val="00CF630D"/>
    <w:rsid w:val="00D05732"/>
    <w:rsid w:val="00D25B52"/>
    <w:rsid w:val="00D41991"/>
    <w:rsid w:val="00D56241"/>
    <w:rsid w:val="00D67B1F"/>
    <w:rsid w:val="00DC0B49"/>
    <w:rsid w:val="00DD5E91"/>
    <w:rsid w:val="00DF0364"/>
    <w:rsid w:val="00E00CB5"/>
    <w:rsid w:val="00E1457C"/>
    <w:rsid w:val="00E23307"/>
    <w:rsid w:val="00E4113C"/>
    <w:rsid w:val="00E56F5B"/>
    <w:rsid w:val="00E66FE2"/>
    <w:rsid w:val="00E9292C"/>
    <w:rsid w:val="00EA1F6A"/>
    <w:rsid w:val="00EC7132"/>
    <w:rsid w:val="00EF17A4"/>
    <w:rsid w:val="00F06754"/>
    <w:rsid w:val="00F220AC"/>
    <w:rsid w:val="00F24E32"/>
    <w:rsid w:val="00F32F3E"/>
    <w:rsid w:val="00F40105"/>
    <w:rsid w:val="00F56B12"/>
    <w:rsid w:val="00F56E54"/>
    <w:rsid w:val="00F669BC"/>
    <w:rsid w:val="00F70FF9"/>
    <w:rsid w:val="00F9673A"/>
    <w:rsid w:val="00FD43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E4B59-C5B3-41BC-8801-487882F1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3307"/>
    <w:rPr>
      <w:color w:val="0000FF"/>
      <w:u w:val="single"/>
    </w:rPr>
  </w:style>
  <w:style w:type="paragraph" w:customStyle="1" w:styleId="documenttitle">
    <w:name w:val="documenttitle"/>
    <w:basedOn w:val="Normal"/>
    <w:rsid w:val="00E233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
    <w:name w:val="Título1"/>
    <w:basedOn w:val="Fuentedeprrafopredeter"/>
    <w:rsid w:val="00E23307"/>
  </w:style>
  <w:style w:type="character" w:customStyle="1" w:styleId="headtext">
    <w:name w:val="headtext"/>
    <w:basedOn w:val="Fuentedeprrafopredeter"/>
    <w:rsid w:val="00E23307"/>
  </w:style>
  <w:style w:type="paragraph" w:customStyle="1" w:styleId="content">
    <w:name w:val="content"/>
    <w:basedOn w:val="Normal"/>
    <w:rsid w:val="00E233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earchterm">
    <w:name w:val="searchterm"/>
    <w:basedOn w:val="Fuentedeprrafopredeter"/>
    <w:rsid w:val="00E23307"/>
  </w:style>
  <w:style w:type="character" w:styleId="nfasis">
    <w:name w:val="Emphasis"/>
    <w:basedOn w:val="Fuentedeprrafopredeter"/>
    <w:uiPriority w:val="20"/>
    <w:qFormat/>
    <w:rsid w:val="000E3E37"/>
    <w:rPr>
      <w:i/>
      <w:iCs/>
    </w:rPr>
  </w:style>
  <w:style w:type="paragraph" w:customStyle="1" w:styleId="titulocp11craya0">
    <w:name w:val="titulocp11craya0"/>
    <w:basedOn w:val="Normal"/>
    <w:rsid w:val="00706E4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angrianovedades">
    <w:name w:val="sangrianovedades"/>
    <w:basedOn w:val="Normal"/>
    <w:rsid w:val="00706E4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sivanovedades">
    <w:name w:val="cursivanovedades"/>
    <w:basedOn w:val="Fuentedeprrafopredeter"/>
    <w:rsid w:val="00706E46"/>
  </w:style>
  <w:style w:type="character" w:customStyle="1" w:styleId="negritanovedades">
    <w:name w:val="negritanovedades"/>
    <w:basedOn w:val="Fuentedeprrafopredeter"/>
    <w:rsid w:val="00706E46"/>
  </w:style>
  <w:style w:type="character" w:customStyle="1" w:styleId="negritacursivanovedades">
    <w:name w:val="negritacursivanovedades"/>
    <w:basedOn w:val="Fuentedeprrafopredeter"/>
    <w:rsid w:val="00706E46"/>
  </w:style>
  <w:style w:type="character" w:customStyle="1" w:styleId="hipervnculo0">
    <w:name w:val="hipervnculo"/>
    <w:basedOn w:val="Fuentedeprrafopredeter"/>
    <w:rsid w:val="00706E46"/>
  </w:style>
  <w:style w:type="paragraph" w:styleId="Prrafodelista">
    <w:name w:val="List Paragraph"/>
    <w:basedOn w:val="Normal"/>
    <w:uiPriority w:val="34"/>
    <w:qFormat/>
    <w:rsid w:val="00F56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572">
      <w:bodyDiv w:val="1"/>
      <w:marLeft w:val="0"/>
      <w:marRight w:val="0"/>
      <w:marTop w:val="0"/>
      <w:marBottom w:val="0"/>
      <w:divBdr>
        <w:top w:val="none" w:sz="0" w:space="0" w:color="auto"/>
        <w:left w:val="none" w:sz="0" w:space="0" w:color="auto"/>
        <w:bottom w:val="none" w:sz="0" w:space="0" w:color="auto"/>
        <w:right w:val="none" w:sz="0" w:space="0" w:color="auto"/>
      </w:divBdr>
      <w:divsChild>
        <w:div w:id="3896966">
          <w:marLeft w:val="0"/>
          <w:marRight w:val="0"/>
          <w:marTop w:val="0"/>
          <w:marBottom w:val="0"/>
          <w:divBdr>
            <w:top w:val="none" w:sz="0" w:space="0" w:color="auto"/>
            <w:left w:val="none" w:sz="0" w:space="0" w:color="auto"/>
            <w:bottom w:val="none" w:sz="0" w:space="0" w:color="auto"/>
            <w:right w:val="none" w:sz="0" w:space="0" w:color="auto"/>
          </w:divBdr>
        </w:div>
        <w:div w:id="1838497720">
          <w:marLeft w:val="0"/>
          <w:marRight w:val="0"/>
          <w:marTop w:val="150"/>
          <w:marBottom w:val="0"/>
          <w:divBdr>
            <w:top w:val="none" w:sz="0" w:space="0" w:color="auto"/>
            <w:left w:val="none" w:sz="0" w:space="0" w:color="auto"/>
            <w:bottom w:val="none" w:sz="0" w:space="0" w:color="auto"/>
            <w:right w:val="none" w:sz="0" w:space="0" w:color="auto"/>
          </w:divBdr>
          <w:divsChild>
            <w:div w:id="238952066">
              <w:marLeft w:val="0"/>
              <w:marRight w:val="0"/>
              <w:marTop w:val="0"/>
              <w:marBottom w:val="0"/>
              <w:divBdr>
                <w:top w:val="dashed" w:sz="6" w:space="0" w:color="CCCCCC"/>
                <w:left w:val="none" w:sz="0" w:space="0" w:color="auto"/>
                <w:bottom w:val="none" w:sz="0" w:space="0" w:color="auto"/>
                <w:right w:val="none" w:sz="0" w:space="0" w:color="auto"/>
              </w:divBdr>
            </w:div>
          </w:divsChild>
        </w:div>
      </w:divsChild>
    </w:div>
    <w:div w:id="187334320">
      <w:bodyDiv w:val="1"/>
      <w:marLeft w:val="0"/>
      <w:marRight w:val="0"/>
      <w:marTop w:val="0"/>
      <w:marBottom w:val="0"/>
      <w:divBdr>
        <w:top w:val="none" w:sz="0" w:space="0" w:color="auto"/>
        <w:left w:val="none" w:sz="0" w:space="0" w:color="auto"/>
        <w:bottom w:val="none" w:sz="0" w:space="0" w:color="auto"/>
        <w:right w:val="none" w:sz="0" w:space="0" w:color="auto"/>
      </w:divBdr>
    </w:div>
    <w:div w:id="231745087">
      <w:bodyDiv w:val="1"/>
      <w:marLeft w:val="0"/>
      <w:marRight w:val="0"/>
      <w:marTop w:val="0"/>
      <w:marBottom w:val="0"/>
      <w:divBdr>
        <w:top w:val="none" w:sz="0" w:space="0" w:color="auto"/>
        <w:left w:val="none" w:sz="0" w:space="0" w:color="auto"/>
        <w:bottom w:val="none" w:sz="0" w:space="0" w:color="auto"/>
        <w:right w:val="none" w:sz="0" w:space="0" w:color="auto"/>
      </w:divBdr>
    </w:div>
    <w:div w:id="293099748">
      <w:bodyDiv w:val="1"/>
      <w:marLeft w:val="0"/>
      <w:marRight w:val="0"/>
      <w:marTop w:val="0"/>
      <w:marBottom w:val="0"/>
      <w:divBdr>
        <w:top w:val="none" w:sz="0" w:space="0" w:color="auto"/>
        <w:left w:val="none" w:sz="0" w:space="0" w:color="auto"/>
        <w:bottom w:val="none" w:sz="0" w:space="0" w:color="auto"/>
        <w:right w:val="none" w:sz="0" w:space="0" w:color="auto"/>
      </w:divBdr>
    </w:div>
    <w:div w:id="705910632">
      <w:bodyDiv w:val="1"/>
      <w:marLeft w:val="0"/>
      <w:marRight w:val="0"/>
      <w:marTop w:val="0"/>
      <w:marBottom w:val="0"/>
      <w:divBdr>
        <w:top w:val="none" w:sz="0" w:space="0" w:color="auto"/>
        <w:left w:val="none" w:sz="0" w:space="0" w:color="auto"/>
        <w:bottom w:val="none" w:sz="0" w:space="0" w:color="auto"/>
        <w:right w:val="none" w:sz="0" w:space="0" w:color="auto"/>
      </w:divBdr>
      <w:divsChild>
        <w:div w:id="380831575">
          <w:marLeft w:val="0"/>
          <w:marRight w:val="0"/>
          <w:marTop w:val="0"/>
          <w:marBottom w:val="0"/>
          <w:divBdr>
            <w:top w:val="none" w:sz="0" w:space="0" w:color="auto"/>
            <w:left w:val="none" w:sz="0" w:space="0" w:color="auto"/>
            <w:bottom w:val="none" w:sz="0" w:space="0" w:color="auto"/>
            <w:right w:val="none" w:sz="0" w:space="0" w:color="auto"/>
          </w:divBdr>
        </w:div>
        <w:div w:id="261232823">
          <w:marLeft w:val="0"/>
          <w:marRight w:val="0"/>
          <w:marTop w:val="150"/>
          <w:marBottom w:val="0"/>
          <w:divBdr>
            <w:top w:val="none" w:sz="0" w:space="0" w:color="auto"/>
            <w:left w:val="none" w:sz="0" w:space="0" w:color="auto"/>
            <w:bottom w:val="none" w:sz="0" w:space="0" w:color="auto"/>
            <w:right w:val="none" w:sz="0" w:space="0" w:color="auto"/>
          </w:divBdr>
        </w:div>
      </w:divsChild>
    </w:div>
    <w:div w:id="884564953">
      <w:bodyDiv w:val="1"/>
      <w:marLeft w:val="0"/>
      <w:marRight w:val="0"/>
      <w:marTop w:val="0"/>
      <w:marBottom w:val="0"/>
      <w:divBdr>
        <w:top w:val="none" w:sz="0" w:space="0" w:color="auto"/>
        <w:left w:val="none" w:sz="0" w:space="0" w:color="auto"/>
        <w:bottom w:val="none" w:sz="0" w:space="0" w:color="auto"/>
        <w:right w:val="none" w:sz="0" w:space="0" w:color="auto"/>
      </w:divBdr>
    </w:div>
    <w:div w:id="936862023">
      <w:bodyDiv w:val="1"/>
      <w:marLeft w:val="0"/>
      <w:marRight w:val="0"/>
      <w:marTop w:val="0"/>
      <w:marBottom w:val="0"/>
      <w:divBdr>
        <w:top w:val="none" w:sz="0" w:space="0" w:color="auto"/>
        <w:left w:val="none" w:sz="0" w:space="0" w:color="auto"/>
        <w:bottom w:val="none" w:sz="0" w:space="0" w:color="auto"/>
        <w:right w:val="none" w:sz="0" w:space="0" w:color="auto"/>
      </w:divBdr>
    </w:div>
    <w:div w:id="1039093031">
      <w:bodyDiv w:val="1"/>
      <w:marLeft w:val="0"/>
      <w:marRight w:val="0"/>
      <w:marTop w:val="0"/>
      <w:marBottom w:val="0"/>
      <w:divBdr>
        <w:top w:val="none" w:sz="0" w:space="0" w:color="auto"/>
        <w:left w:val="none" w:sz="0" w:space="0" w:color="auto"/>
        <w:bottom w:val="none" w:sz="0" w:space="0" w:color="auto"/>
        <w:right w:val="none" w:sz="0" w:space="0" w:color="auto"/>
      </w:divBdr>
    </w:div>
    <w:div w:id="1094742579">
      <w:bodyDiv w:val="1"/>
      <w:marLeft w:val="0"/>
      <w:marRight w:val="0"/>
      <w:marTop w:val="0"/>
      <w:marBottom w:val="0"/>
      <w:divBdr>
        <w:top w:val="none" w:sz="0" w:space="0" w:color="auto"/>
        <w:left w:val="none" w:sz="0" w:space="0" w:color="auto"/>
        <w:bottom w:val="none" w:sz="0" w:space="0" w:color="auto"/>
        <w:right w:val="none" w:sz="0" w:space="0" w:color="auto"/>
      </w:divBdr>
    </w:div>
    <w:div w:id="1226452313">
      <w:bodyDiv w:val="1"/>
      <w:marLeft w:val="0"/>
      <w:marRight w:val="0"/>
      <w:marTop w:val="0"/>
      <w:marBottom w:val="0"/>
      <w:divBdr>
        <w:top w:val="none" w:sz="0" w:space="0" w:color="auto"/>
        <w:left w:val="none" w:sz="0" w:space="0" w:color="auto"/>
        <w:bottom w:val="none" w:sz="0" w:space="0" w:color="auto"/>
        <w:right w:val="none" w:sz="0" w:space="0" w:color="auto"/>
      </w:divBdr>
      <w:divsChild>
        <w:div w:id="481119792">
          <w:marLeft w:val="0"/>
          <w:marRight w:val="0"/>
          <w:marTop w:val="0"/>
          <w:marBottom w:val="0"/>
          <w:divBdr>
            <w:top w:val="none" w:sz="0" w:space="0" w:color="auto"/>
            <w:left w:val="none" w:sz="0" w:space="0" w:color="auto"/>
            <w:bottom w:val="none" w:sz="0" w:space="0" w:color="auto"/>
            <w:right w:val="none" w:sz="0" w:space="0" w:color="auto"/>
          </w:divBdr>
        </w:div>
        <w:div w:id="842008592">
          <w:marLeft w:val="0"/>
          <w:marRight w:val="0"/>
          <w:marTop w:val="150"/>
          <w:marBottom w:val="0"/>
          <w:divBdr>
            <w:top w:val="none" w:sz="0" w:space="0" w:color="auto"/>
            <w:left w:val="none" w:sz="0" w:space="0" w:color="auto"/>
            <w:bottom w:val="none" w:sz="0" w:space="0" w:color="auto"/>
            <w:right w:val="none" w:sz="0" w:space="0" w:color="auto"/>
          </w:divBdr>
        </w:div>
      </w:divsChild>
    </w:div>
    <w:div w:id="1265917782">
      <w:bodyDiv w:val="1"/>
      <w:marLeft w:val="0"/>
      <w:marRight w:val="0"/>
      <w:marTop w:val="0"/>
      <w:marBottom w:val="0"/>
      <w:divBdr>
        <w:top w:val="none" w:sz="0" w:space="0" w:color="auto"/>
        <w:left w:val="none" w:sz="0" w:space="0" w:color="auto"/>
        <w:bottom w:val="none" w:sz="0" w:space="0" w:color="auto"/>
        <w:right w:val="none" w:sz="0" w:space="0" w:color="auto"/>
      </w:divBdr>
    </w:div>
    <w:div w:id="1339695036">
      <w:bodyDiv w:val="1"/>
      <w:marLeft w:val="0"/>
      <w:marRight w:val="0"/>
      <w:marTop w:val="0"/>
      <w:marBottom w:val="0"/>
      <w:divBdr>
        <w:top w:val="none" w:sz="0" w:space="0" w:color="auto"/>
        <w:left w:val="none" w:sz="0" w:space="0" w:color="auto"/>
        <w:bottom w:val="none" w:sz="0" w:space="0" w:color="auto"/>
        <w:right w:val="none" w:sz="0" w:space="0" w:color="auto"/>
      </w:divBdr>
    </w:div>
    <w:div w:id="1343895922">
      <w:bodyDiv w:val="1"/>
      <w:marLeft w:val="0"/>
      <w:marRight w:val="0"/>
      <w:marTop w:val="0"/>
      <w:marBottom w:val="0"/>
      <w:divBdr>
        <w:top w:val="none" w:sz="0" w:space="0" w:color="auto"/>
        <w:left w:val="none" w:sz="0" w:space="0" w:color="auto"/>
        <w:bottom w:val="none" w:sz="0" w:space="0" w:color="auto"/>
        <w:right w:val="none" w:sz="0" w:space="0" w:color="auto"/>
      </w:divBdr>
    </w:div>
    <w:div w:id="1463573393">
      <w:bodyDiv w:val="1"/>
      <w:marLeft w:val="0"/>
      <w:marRight w:val="0"/>
      <w:marTop w:val="0"/>
      <w:marBottom w:val="0"/>
      <w:divBdr>
        <w:top w:val="none" w:sz="0" w:space="0" w:color="auto"/>
        <w:left w:val="none" w:sz="0" w:space="0" w:color="auto"/>
        <w:bottom w:val="none" w:sz="0" w:space="0" w:color="auto"/>
        <w:right w:val="none" w:sz="0" w:space="0" w:color="auto"/>
      </w:divBdr>
    </w:div>
    <w:div w:id="1661427372">
      <w:bodyDiv w:val="1"/>
      <w:marLeft w:val="0"/>
      <w:marRight w:val="0"/>
      <w:marTop w:val="0"/>
      <w:marBottom w:val="0"/>
      <w:divBdr>
        <w:top w:val="none" w:sz="0" w:space="0" w:color="auto"/>
        <w:left w:val="none" w:sz="0" w:space="0" w:color="auto"/>
        <w:bottom w:val="none" w:sz="0" w:space="0" w:color="auto"/>
        <w:right w:val="none" w:sz="0" w:space="0" w:color="auto"/>
      </w:divBdr>
    </w:div>
    <w:div w:id="1673333785">
      <w:bodyDiv w:val="1"/>
      <w:marLeft w:val="0"/>
      <w:marRight w:val="0"/>
      <w:marTop w:val="0"/>
      <w:marBottom w:val="0"/>
      <w:divBdr>
        <w:top w:val="none" w:sz="0" w:space="0" w:color="auto"/>
        <w:left w:val="none" w:sz="0" w:space="0" w:color="auto"/>
        <w:bottom w:val="none" w:sz="0" w:space="0" w:color="auto"/>
        <w:right w:val="none" w:sz="0" w:space="0" w:color="auto"/>
      </w:divBdr>
      <w:divsChild>
        <w:div w:id="1039284915">
          <w:marLeft w:val="0"/>
          <w:marRight w:val="0"/>
          <w:marTop w:val="0"/>
          <w:marBottom w:val="0"/>
          <w:divBdr>
            <w:top w:val="none" w:sz="0" w:space="0" w:color="auto"/>
            <w:left w:val="none" w:sz="0" w:space="0" w:color="auto"/>
            <w:bottom w:val="none" w:sz="0" w:space="0" w:color="auto"/>
            <w:right w:val="none" w:sz="0" w:space="0" w:color="auto"/>
          </w:divBdr>
        </w:div>
        <w:div w:id="256250684">
          <w:marLeft w:val="0"/>
          <w:marRight w:val="0"/>
          <w:marTop w:val="150"/>
          <w:marBottom w:val="0"/>
          <w:divBdr>
            <w:top w:val="none" w:sz="0" w:space="0" w:color="auto"/>
            <w:left w:val="none" w:sz="0" w:space="0" w:color="auto"/>
            <w:bottom w:val="none" w:sz="0" w:space="0" w:color="auto"/>
            <w:right w:val="none" w:sz="0" w:space="0" w:color="auto"/>
          </w:divBdr>
        </w:div>
      </w:divsChild>
    </w:div>
    <w:div w:id="1692612122">
      <w:bodyDiv w:val="1"/>
      <w:marLeft w:val="0"/>
      <w:marRight w:val="0"/>
      <w:marTop w:val="0"/>
      <w:marBottom w:val="0"/>
      <w:divBdr>
        <w:top w:val="none" w:sz="0" w:space="0" w:color="auto"/>
        <w:left w:val="none" w:sz="0" w:space="0" w:color="auto"/>
        <w:bottom w:val="none" w:sz="0" w:space="0" w:color="auto"/>
        <w:right w:val="none" w:sz="0" w:space="0" w:color="auto"/>
      </w:divBdr>
      <w:divsChild>
        <w:div w:id="1283734385">
          <w:marLeft w:val="0"/>
          <w:marRight w:val="0"/>
          <w:marTop w:val="0"/>
          <w:marBottom w:val="0"/>
          <w:divBdr>
            <w:top w:val="none" w:sz="0" w:space="0" w:color="auto"/>
            <w:left w:val="none" w:sz="0" w:space="0" w:color="auto"/>
            <w:bottom w:val="none" w:sz="0" w:space="0" w:color="auto"/>
            <w:right w:val="none" w:sz="0" w:space="0" w:color="auto"/>
          </w:divBdr>
          <w:divsChild>
            <w:div w:id="281574594">
              <w:marLeft w:val="0"/>
              <w:marRight w:val="0"/>
              <w:marTop w:val="0"/>
              <w:marBottom w:val="0"/>
              <w:divBdr>
                <w:top w:val="none" w:sz="0" w:space="0" w:color="auto"/>
                <w:left w:val="none" w:sz="0" w:space="0" w:color="auto"/>
                <w:bottom w:val="single" w:sz="36" w:space="0" w:color="FFFFFF"/>
                <w:right w:val="none" w:sz="0" w:space="0" w:color="auto"/>
              </w:divBdr>
            </w:div>
          </w:divsChild>
        </w:div>
        <w:div w:id="765811481">
          <w:marLeft w:val="0"/>
          <w:marRight w:val="0"/>
          <w:marTop w:val="0"/>
          <w:marBottom w:val="0"/>
          <w:divBdr>
            <w:top w:val="none" w:sz="0" w:space="0" w:color="auto"/>
            <w:left w:val="none" w:sz="0" w:space="0" w:color="auto"/>
            <w:bottom w:val="none" w:sz="0" w:space="0" w:color="auto"/>
            <w:right w:val="none" w:sz="0" w:space="0" w:color="auto"/>
          </w:divBdr>
        </w:div>
      </w:divsChild>
    </w:div>
    <w:div w:id="1734159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763">
          <w:marLeft w:val="0"/>
          <w:marRight w:val="0"/>
          <w:marTop w:val="0"/>
          <w:marBottom w:val="0"/>
          <w:divBdr>
            <w:top w:val="none" w:sz="0" w:space="0" w:color="auto"/>
            <w:left w:val="none" w:sz="0" w:space="0" w:color="auto"/>
            <w:bottom w:val="none" w:sz="0" w:space="0" w:color="auto"/>
            <w:right w:val="none" w:sz="0" w:space="0" w:color="auto"/>
          </w:divBdr>
        </w:div>
        <w:div w:id="352072787">
          <w:marLeft w:val="0"/>
          <w:marRight w:val="0"/>
          <w:marTop w:val="150"/>
          <w:marBottom w:val="0"/>
          <w:divBdr>
            <w:top w:val="none" w:sz="0" w:space="0" w:color="auto"/>
            <w:left w:val="none" w:sz="0" w:space="0" w:color="auto"/>
            <w:bottom w:val="none" w:sz="0" w:space="0" w:color="auto"/>
            <w:right w:val="none" w:sz="0" w:space="0" w:color="auto"/>
          </w:divBdr>
          <w:divsChild>
            <w:div w:id="881283265">
              <w:marLeft w:val="0"/>
              <w:marRight w:val="0"/>
              <w:marTop w:val="0"/>
              <w:marBottom w:val="0"/>
              <w:divBdr>
                <w:top w:val="dashed" w:sz="6" w:space="0" w:color="CCCCCC"/>
                <w:left w:val="none" w:sz="0" w:space="0" w:color="auto"/>
                <w:bottom w:val="none" w:sz="0" w:space="0" w:color="auto"/>
                <w:right w:val="none" w:sz="0" w:space="0" w:color="auto"/>
              </w:divBdr>
            </w:div>
          </w:divsChild>
        </w:div>
      </w:divsChild>
    </w:div>
    <w:div w:id="1742873182">
      <w:bodyDiv w:val="1"/>
      <w:marLeft w:val="0"/>
      <w:marRight w:val="0"/>
      <w:marTop w:val="0"/>
      <w:marBottom w:val="0"/>
      <w:divBdr>
        <w:top w:val="none" w:sz="0" w:space="0" w:color="auto"/>
        <w:left w:val="none" w:sz="0" w:space="0" w:color="auto"/>
        <w:bottom w:val="none" w:sz="0" w:space="0" w:color="auto"/>
        <w:right w:val="none" w:sz="0" w:space="0" w:color="auto"/>
      </w:divBdr>
      <w:divsChild>
        <w:div w:id="1165366530">
          <w:marLeft w:val="0"/>
          <w:marRight w:val="0"/>
          <w:marTop w:val="0"/>
          <w:marBottom w:val="0"/>
          <w:divBdr>
            <w:top w:val="none" w:sz="0" w:space="0" w:color="auto"/>
            <w:left w:val="none" w:sz="0" w:space="0" w:color="auto"/>
            <w:bottom w:val="none" w:sz="0" w:space="0" w:color="auto"/>
            <w:right w:val="none" w:sz="0" w:space="0" w:color="auto"/>
          </w:divBdr>
        </w:div>
        <w:div w:id="419374509">
          <w:marLeft w:val="0"/>
          <w:marRight w:val="0"/>
          <w:marTop w:val="150"/>
          <w:marBottom w:val="0"/>
          <w:divBdr>
            <w:top w:val="none" w:sz="0" w:space="0" w:color="auto"/>
            <w:left w:val="none" w:sz="0" w:space="0" w:color="auto"/>
            <w:bottom w:val="none" w:sz="0" w:space="0" w:color="auto"/>
            <w:right w:val="none" w:sz="0" w:space="0" w:color="auto"/>
          </w:divBdr>
          <w:divsChild>
            <w:div w:id="203911954">
              <w:marLeft w:val="0"/>
              <w:marRight w:val="0"/>
              <w:marTop w:val="0"/>
              <w:marBottom w:val="0"/>
              <w:divBdr>
                <w:top w:val="dashed" w:sz="6" w:space="0" w:color="CCCCCC"/>
                <w:left w:val="none" w:sz="0" w:space="0" w:color="auto"/>
                <w:bottom w:val="none" w:sz="0" w:space="0" w:color="auto"/>
                <w:right w:val="none" w:sz="0" w:space="0" w:color="auto"/>
              </w:divBdr>
            </w:div>
          </w:divsChild>
        </w:div>
      </w:divsChild>
    </w:div>
    <w:div w:id="1745033906">
      <w:bodyDiv w:val="1"/>
      <w:marLeft w:val="0"/>
      <w:marRight w:val="0"/>
      <w:marTop w:val="0"/>
      <w:marBottom w:val="0"/>
      <w:divBdr>
        <w:top w:val="none" w:sz="0" w:space="0" w:color="auto"/>
        <w:left w:val="none" w:sz="0" w:space="0" w:color="auto"/>
        <w:bottom w:val="none" w:sz="0" w:space="0" w:color="auto"/>
        <w:right w:val="none" w:sz="0" w:space="0" w:color="auto"/>
      </w:divBdr>
    </w:div>
    <w:div w:id="1961299039">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sChild>
        <w:div w:id="1646425332">
          <w:marLeft w:val="0"/>
          <w:marRight w:val="0"/>
          <w:marTop w:val="0"/>
          <w:marBottom w:val="0"/>
          <w:divBdr>
            <w:top w:val="none" w:sz="0" w:space="0" w:color="auto"/>
            <w:left w:val="none" w:sz="0" w:space="0" w:color="auto"/>
            <w:bottom w:val="none" w:sz="0" w:space="0" w:color="auto"/>
            <w:right w:val="none" w:sz="0" w:space="0" w:color="auto"/>
          </w:divBdr>
        </w:div>
        <w:div w:id="893389314">
          <w:marLeft w:val="0"/>
          <w:marRight w:val="0"/>
          <w:marTop w:val="150"/>
          <w:marBottom w:val="0"/>
          <w:divBdr>
            <w:top w:val="none" w:sz="0" w:space="0" w:color="auto"/>
            <w:left w:val="none" w:sz="0" w:space="0" w:color="auto"/>
            <w:bottom w:val="none" w:sz="0" w:space="0" w:color="auto"/>
            <w:right w:val="none" w:sz="0" w:space="0" w:color="auto"/>
          </w:divBdr>
          <w:divsChild>
            <w:div w:id="1575627413">
              <w:marLeft w:val="0"/>
              <w:marRight w:val="0"/>
              <w:marTop w:val="0"/>
              <w:marBottom w:val="0"/>
              <w:divBdr>
                <w:top w:val="dashed" w:sz="6" w:space="0" w:color="CCCCCC"/>
                <w:left w:val="none" w:sz="0" w:space="0" w:color="auto"/>
                <w:bottom w:val="none" w:sz="0" w:space="0" w:color="auto"/>
                <w:right w:val="none" w:sz="0" w:space="0" w:color="auto"/>
              </w:divBdr>
            </w:div>
          </w:divsChild>
        </w:div>
      </w:divsChild>
    </w:div>
    <w:div w:id="21024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56AC-9C23-420A-BEE7-EA715326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2360</Words>
  <Characters>12984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Andres.Saladino</dc:creator>
  <cp:lastModifiedBy>Hernan Pablo Castillejo</cp:lastModifiedBy>
  <cp:revision>4</cp:revision>
  <dcterms:created xsi:type="dcterms:W3CDTF">2020-11-17T15:37:00Z</dcterms:created>
  <dcterms:modified xsi:type="dcterms:W3CDTF">2020-11-17T20:26:00Z</dcterms:modified>
</cp:coreProperties>
</file>